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D0F" w:rsidRDefault="00F37B44" w:rsidP="00855A02">
      <w:pPr>
        <w:spacing w:after="120" w:line="240" w:lineRule="auto"/>
        <w:rPr>
          <w:rFonts w:ascii="Arial" w:hAnsi="Arial" w:cs="Arial"/>
          <w:bCs/>
        </w:rPr>
      </w:pPr>
      <w:r w:rsidRPr="00F37B44">
        <w:rPr>
          <w:rFonts w:ascii="Arial" w:hAnsi="Arial" w:cs="Arial"/>
          <w:bCs/>
        </w:rPr>
        <w:t xml:space="preserve">Covered California is soliciting comments </w:t>
      </w:r>
      <w:r w:rsidR="008F6B5C">
        <w:rPr>
          <w:rFonts w:ascii="Arial" w:hAnsi="Arial" w:cs="Arial"/>
          <w:bCs/>
        </w:rPr>
        <w:t xml:space="preserve">and redline edits </w:t>
      </w:r>
      <w:r w:rsidRPr="00F37B44">
        <w:rPr>
          <w:rFonts w:ascii="Arial" w:hAnsi="Arial" w:cs="Arial"/>
          <w:bCs/>
        </w:rPr>
        <w:t xml:space="preserve">on the following </w:t>
      </w:r>
      <w:r>
        <w:rPr>
          <w:rFonts w:ascii="Arial" w:hAnsi="Arial" w:cs="Arial"/>
          <w:bCs/>
        </w:rPr>
        <w:t xml:space="preserve">2030 </w:t>
      </w:r>
      <w:r w:rsidRPr="00F37B44">
        <w:rPr>
          <w:rFonts w:ascii="Arial" w:hAnsi="Arial" w:cs="Arial"/>
          <w:bCs/>
        </w:rPr>
        <w:t xml:space="preserve">Vision Statements </w:t>
      </w:r>
      <w:r w:rsidR="008F6B5C">
        <w:rPr>
          <w:rFonts w:ascii="Arial" w:hAnsi="Arial" w:cs="Arial"/>
          <w:bCs/>
        </w:rPr>
        <w:t>to inform Covered California’s Model Contract and Attachment 7 2022 Amendment and 2023 Refresh. Please provide comments and redline edits to Margareta Brandt (</w:t>
      </w:r>
      <w:hyperlink r:id="rId7" w:history="1">
        <w:r w:rsidR="008F6B5C" w:rsidRPr="00D73320">
          <w:rPr>
            <w:rStyle w:val="Hyperlink"/>
            <w:rFonts w:ascii="Arial" w:hAnsi="Arial" w:cs="Arial"/>
            <w:bCs/>
          </w:rPr>
          <w:t>margareta.brandt@covered.ca.gov</w:t>
        </w:r>
      </w:hyperlink>
      <w:r w:rsidR="008F6B5C">
        <w:rPr>
          <w:rFonts w:ascii="Arial" w:hAnsi="Arial" w:cs="Arial"/>
          <w:bCs/>
        </w:rPr>
        <w:t xml:space="preserve">) by Friday June 5, 2020. </w:t>
      </w:r>
    </w:p>
    <w:p w:rsidR="008F6B5C" w:rsidRPr="00F37B44" w:rsidRDefault="00D03CED" w:rsidP="00855A02">
      <w:pPr>
        <w:spacing w:after="120" w:line="240" w:lineRule="auto"/>
        <w:rPr>
          <w:rFonts w:ascii="Arial" w:hAnsi="Arial" w:cs="Arial"/>
          <w:bCs/>
        </w:rPr>
      </w:pPr>
      <w:r>
        <w:rPr>
          <w:rFonts w:ascii="Arial" w:hAnsi="Arial" w:cs="Arial"/>
          <w:bCs/>
        </w:rPr>
        <w:t>Please provide g</w:t>
      </w:r>
      <w:bookmarkStart w:id="0" w:name="_GoBack"/>
      <w:bookmarkEnd w:id="0"/>
      <w:r w:rsidR="008F6B5C">
        <w:rPr>
          <w:rFonts w:ascii="Arial" w:hAnsi="Arial" w:cs="Arial"/>
          <w:bCs/>
        </w:rPr>
        <w:t xml:space="preserve">eneral comments </w:t>
      </w:r>
      <w:r>
        <w:rPr>
          <w:rFonts w:ascii="Arial" w:hAnsi="Arial" w:cs="Arial"/>
          <w:bCs/>
        </w:rPr>
        <w:t xml:space="preserve">and feedback </w:t>
      </w:r>
      <w:r w:rsidR="008F6B5C">
        <w:rPr>
          <w:rFonts w:ascii="Arial" w:hAnsi="Arial" w:cs="Arial"/>
          <w:bCs/>
        </w:rPr>
        <w:t xml:space="preserve">here: </w:t>
      </w:r>
    </w:p>
    <w:p w:rsidR="00F37B44" w:rsidRDefault="00F37B44" w:rsidP="00855A02">
      <w:pPr>
        <w:spacing w:after="120" w:line="240" w:lineRule="auto"/>
        <w:rPr>
          <w:rFonts w:ascii="Arial" w:hAnsi="Arial" w:cs="Arial"/>
          <w:b/>
          <w:bCs/>
        </w:rPr>
      </w:pPr>
    </w:p>
    <w:p w:rsidR="008F6B5C" w:rsidRDefault="008F6B5C" w:rsidP="00855A02">
      <w:pPr>
        <w:spacing w:after="120" w:line="240" w:lineRule="auto"/>
        <w:rPr>
          <w:rFonts w:ascii="Arial" w:hAnsi="Arial" w:cs="Arial"/>
          <w:b/>
          <w:bCs/>
        </w:rPr>
      </w:pPr>
    </w:p>
    <w:p w:rsidR="008F6B5C" w:rsidRDefault="008F6B5C" w:rsidP="00855A02">
      <w:pPr>
        <w:spacing w:after="120" w:line="240" w:lineRule="auto"/>
        <w:rPr>
          <w:rFonts w:ascii="Arial" w:hAnsi="Arial" w:cs="Arial"/>
          <w:b/>
          <w:bCs/>
        </w:rPr>
      </w:pPr>
    </w:p>
    <w:p w:rsidR="008F6B5C" w:rsidRDefault="008F6B5C" w:rsidP="00855A02">
      <w:pPr>
        <w:spacing w:after="120" w:line="240" w:lineRule="auto"/>
        <w:rPr>
          <w:rFonts w:ascii="Arial" w:hAnsi="Arial" w:cs="Arial"/>
          <w:b/>
          <w:bCs/>
        </w:rPr>
      </w:pPr>
    </w:p>
    <w:p w:rsidR="008F6B5C" w:rsidRDefault="008F6B5C" w:rsidP="00855A02">
      <w:pPr>
        <w:spacing w:after="120" w:line="240" w:lineRule="auto"/>
        <w:rPr>
          <w:rFonts w:ascii="Arial" w:hAnsi="Arial" w:cs="Arial"/>
          <w:b/>
          <w:bCs/>
        </w:rPr>
      </w:pPr>
    </w:p>
    <w:p w:rsidR="008F6B5C" w:rsidRDefault="008F6B5C" w:rsidP="00855A02">
      <w:pPr>
        <w:spacing w:after="120" w:line="240" w:lineRule="auto"/>
        <w:rPr>
          <w:rFonts w:ascii="Arial" w:hAnsi="Arial" w:cs="Arial"/>
          <w:b/>
          <w:bCs/>
        </w:rPr>
      </w:pPr>
      <w:r>
        <w:rPr>
          <w:rFonts w:ascii="Arial" w:hAnsi="Arial" w:cs="Arial"/>
          <w:b/>
          <w:bCs/>
        </w:rPr>
        <w:t>INTRODUCTION</w:t>
      </w:r>
    </w:p>
    <w:p w:rsidR="00855A02" w:rsidRDefault="00855A02" w:rsidP="00855A02">
      <w:pPr>
        <w:spacing w:after="120" w:line="240" w:lineRule="auto"/>
        <w:rPr>
          <w:rFonts w:ascii="Arial" w:hAnsi="Arial" w:cs="Arial"/>
        </w:rPr>
      </w:pPr>
      <w:r w:rsidRPr="00855A02">
        <w:rPr>
          <w:rFonts w:ascii="Arial" w:hAnsi="Arial" w:cs="Arial"/>
          <w:b/>
          <w:bCs/>
        </w:rPr>
        <w:t xml:space="preserve">Covered California’s Overarching Goals </w:t>
      </w:r>
      <w:r>
        <w:rPr>
          <w:rFonts w:ascii="Arial" w:hAnsi="Arial" w:cs="Arial"/>
          <w:b/>
          <w:bCs/>
        </w:rPr>
        <w:t>i</w:t>
      </w:r>
      <w:r w:rsidRPr="00855A02">
        <w:rPr>
          <w:rFonts w:ascii="Arial" w:hAnsi="Arial" w:cs="Arial"/>
          <w:b/>
          <w:bCs/>
        </w:rPr>
        <w:t>n Health Plan Contracting</w:t>
      </w:r>
    </w:p>
    <w:p w:rsidR="00000000" w:rsidRPr="00855A02" w:rsidRDefault="00D03CED" w:rsidP="00855A02">
      <w:pPr>
        <w:numPr>
          <w:ilvl w:val="0"/>
          <w:numId w:val="1"/>
        </w:numPr>
        <w:spacing w:after="120" w:line="240" w:lineRule="auto"/>
        <w:rPr>
          <w:rFonts w:ascii="Arial" w:hAnsi="Arial" w:cs="Arial"/>
        </w:rPr>
      </w:pPr>
      <w:r w:rsidRPr="00855A02">
        <w:rPr>
          <w:rFonts w:ascii="Arial" w:hAnsi="Arial" w:cs="Arial"/>
        </w:rPr>
        <w:t>Ensure that Covered California’s enrollees receive the best possible care at the lowest possible cost.</w:t>
      </w:r>
    </w:p>
    <w:p w:rsidR="00000000" w:rsidRPr="00855A02" w:rsidRDefault="00D03CED" w:rsidP="00855A02">
      <w:pPr>
        <w:numPr>
          <w:ilvl w:val="0"/>
          <w:numId w:val="1"/>
        </w:numPr>
        <w:spacing w:after="120" w:line="240" w:lineRule="auto"/>
        <w:rPr>
          <w:rFonts w:ascii="Arial" w:hAnsi="Arial" w:cs="Arial"/>
        </w:rPr>
      </w:pPr>
      <w:r w:rsidRPr="00855A02">
        <w:rPr>
          <w:rFonts w:ascii="Arial" w:hAnsi="Arial" w:cs="Arial"/>
        </w:rPr>
        <w:t>Achieve the best possible health and hea</w:t>
      </w:r>
      <w:r w:rsidRPr="00855A02">
        <w:rPr>
          <w:rFonts w:ascii="Arial" w:hAnsi="Arial" w:cs="Arial"/>
        </w:rPr>
        <w:t>lth care for California residents.</w:t>
      </w:r>
    </w:p>
    <w:p w:rsidR="00000000" w:rsidRPr="00855A02" w:rsidRDefault="00D03CED" w:rsidP="00855A02">
      <w:pPr>
        <w:numPr>
          <w:ilvl w:val="0"/>
          <w:numId w:val="1"/>
        </w:numPr>
        <w:spacing w:after="120" w:line="240" w:lineRule="auto"/>
        <w:rPr>
          <w:rFonts w:ascii="Arial" w:hAnsi="Arial" w:cs="Arial"/>
        </w:rPr>
      </w:pPr>
      <w:r w:rsidRPr="00855A02">
        <w:rPr>
          <w:rFonts w:ascii="Arial" w:hAnsi="Arial" w:cs="Arial"/>
        </w:rPr>
        <w:t>Establish a process that will ensure continual improvement of California’s health system through well-aligned near-term incremental changes and longer-term transformational reforms.</w:t>
      </w:r>
    </w:p>
    <w:p w:rsidR="00000000" w:rsidRDefault="00D03CED" w:rsidP="00855A02">
      <w:pPr>
        <w:numPr>
          <w:ilvl w:val="0"/>
          <w:numId w:val="1"/>
        </w:numPr>
        <w:spacing w:after="120" w:line="240" w:lineRule="auto"/>
        <w:rPr>
          <w:rFonts w:ascii="Arial" w:hAnsi="Arial" w:cs="Arial"/>
        </w:rPr>
      </w:pPr>
      <w:r w:rsidRPr="00855A02">
        <w:rPr>
          <w:rFonts w:ascii="Arial" w:hAnsi="Arial" w:cs="Arial"/>
        </w:rPr>
        <w:t>Provide a model that can spread bro</w:t>
      </w:r>
      <w:r w:rsidRPr="00855A02">
        <w:rPr>
          <w:rFonts w:ascii="Arial" w:hAnsi="Arial" w:cs="Arial"/>
        </w:rPr>
        <w:t>adly and insights and tools that others can adopt to help scale and spread the lessons learned.</w:t>
      </w:r>
    </w:p>
    <w:p w:rsidR="00855A02" w:rsidRDefault="00855A02" w:rsidP="00855A02">
      <w:pPr>
        <w:spacing w:after="120" w:line="240" w:lineRule="auto"/>
        <w:rPr>
          <w:rFonts w:ascii="Arial" w:hAnsi="Arial" w:cs="Arial"/>
          <w:b/>
          <w:bCs/>
        </w:rPr>
      </w:pPr>
    </w:p>
    <w:p w:rsidR="00855A02" w:rsidRPr="00855A02" w:rsidRDefault="00855A02" w:rsidP="00855A02">
      <w:pPr>
        <w:spacing w:after="120" w:line="240" w:lineRule="auto"/>
        <w:rPr>
          <w:rFonts w:ascii="Arial" w:hAnsi="Arial" w:cs="Arial"/>
          <w:b/>
          <w:bCs/>
        </w:rPr>
      </w:pPr>
      <w:r w:rsidRPr="00855A02">
        <w:rPr>
          <w:rFonts w:ascii="Arial" w:hAnsi="Arial" w:cs="Arial"/>
          <w:b/>
          <w:bCs/>
        </w:rPr>
        <w:t xml:space="preserve">Core Assumptions </w:t>
      </w:r>
      <w:r>
        <w:rPr>
          <w:rFonts w:ascii="Arial" w:hAnsi="Arial" w:cs="Arial"/>
          <w:b/>
          <w:bCs/>
        </w:rPr>
        <w:t>t</w:t>
      </w:r>
      <w:r w:rsidRPr="00855A02">
        <w:rPr>
          <w:rFonts w:ascii="Arial" w:hAnsi="Arial" w:cs="Arial"/>
          <w:b/>
          <w:bCs/>
        </w:rPr>
        <w:t>o Covered California’s Approach</w:t>
      </w:r>
    </w:p>
    <w:p w:rsidR="00855A02" w:rsidRPr="00855A02" w:rsidRDefault="00855A02" w:rsidP="00855A02">
      <w:pPr>
        <w:spacing w:after="120" w:line="240" w:lineRule="auto"/>
        <w:rPr>
          <w:rFonts w:ascii="Arial" w:hAnsi="Arial" w:cs="Arial"/>
        </w:rPr>
      </w:pPr>
      <w:r w:rsidRPr="00855A02">
        <w:rPr>
          <w:rFonts w:ascii="Arial" w:hAnsi="Arial" w:cs="Arial"/>
        </w:rPr>
        <w:t>Fundamental change can only be achieved by empowering and supporting meaningful improvement at five levels that required aligned action:</w:t>
      </w:r>
    </w:p>
    <w:p w:rsidR="00000000" w:rsidRPr="00855A02" w:rsidRDefault="00D03CED" w:rsidP="00855A02">
      <w:pPr>
        <w:numPr>
          <w:ilvl w:val="0"/>
          <w:numId w:val="2"/>
        </w:numPr>
        <w:spacing w:after="120" w:line="240" w:lineRule="auto"/>
        <w:rPr>
          <w:rFonts w:ascii="Arial" w:hAnsi="Arial" w:cs="Arial"/>
        </w:rPr>
      </w:pPr>
      <w:r w:rsidRPr="00855A02">
        <w:rPr>
          <w:rFonts w:ascii="Arial" w:hAnsi="Arial" w:cs="Arial"/>
          <w:b/>
          <w:bCs/>
        </w:rPr>
        <w:t xml:space="preserve">Consumers and patients </w:t>
      </w:r>
      <w:r w:rsidRPr="00855A02">
        <w:rPr>
          <w:rFonts w:ascii="Arial" w:hAnsi="Arial" w:cs="Arial"/>
        </w:rPr>
        <w:t>– how they are engaged in maintaining good health and in getting best care when needed;</w:t>
      </w:r>
    </w:p>
    <w:p w:rsidR="00000000" w:rsidRPr="00855A02" w:rsidRDefault="00D03CED" w:rsidP="00855A02">
      <w:pPr>
        <w:numPr>
          <w:ilvl w:val="0"/>
          <w:numId w:val="2"/>
        </w:numPr>
        <w:spacing w:after="120" w:line="240" w:lineRule="auto"/>
        <w:rPr>
          <w:rFonts w:ascii="Arial" w:hAnsi="Arial" w:cs="Arial"/>
        </w:rPr>
      </w:pPr>
      <w:r w:rsidRPr="00855A02">
        <w:rPr>
          <w:rFonts w:ascii="Arial" w:hAnsi="Arial" w:cs="Arial"/>
          <w:b/>
          <w:bCs/>
        </w:rPr>
        <w:t>Clinicians and hospitals</w:t>
      </w:r>
      <w:r w:rsidRPr="00855A02">
        <w:rPr>
          <w:rFonts w:ascii="Arial" w:hAnsi="Arial" w:cs="Arial"/>
        </w:rPr>
        <w:t xml:space="preserve"> – where and how care is provided (physician practices, hospitals and other sites of care);</w:t>
      </w:r>
    </w:p>
    <w:p w:rsidR="00000000" w:rsidRPr="00855A02" w:rsidRDefault="00D03CED" w:rsidP="00855A02">
      <w:pPr>
        <w:numPr>
          <w:ilvl w:val="0"/>
          <w:numId w:val="2"/>
        </w:numPr>
        <w:spacing w:after="120" w:line="240" w:lineRule="auto"/>
        <w:rPr>
          <w:rFonts w:ascii="Arial" w:hAnsi="Arial" w:cs="Arial"/>
        </w:rPr>
      </w:pPr>
      <w:r w:rsidRPr="00855A02">
        <w:rPr>
          <w:rFonts w:ascii="Arial" w:hAnsi="Arial" w:cs="Arial"/>
          <w:b/>
          <w:bCs/>
        </w:rPr>
        <w:t>Plans</w:t>
      </w:r>
      <w:r w:rsidRPr="00855A02">
        <w:rPr>
          <w:rFonts w:ascii="Arial" w:hAnsi="Arial" w:cs="Arial"/>
        </w:rPr>
        <w:t xml:space="preserve"> – what they do on their own and with others to both improve care and improve the health of their members; </w:t>
      </w:r>
    </w:p>
    <w:p w:rsidR="00000000" w:rsidRPr="00855A02" w:rsidRDefault="00D03CED" w:rsidP="00855A02">
      <w:pPr>
        <w:numPr>
          <w:ilvl w:val="0"/>
          <w:numId w:val="2"/>
        </w:numPr>
        <w:spacing w:after="120" w:line="240" w:lineRule="auto"/>
        <w:rPr>
          <w:rFonts w:ascii="Arial" w:hAnsi="Arial" w:cs="Arial"/>
        </w:rPr>
      </w:pPr>
      <w:r w:rsidRPr="00855A02">
        <w:rPr>
          <w:rFonts w:ascii="Arial" w:hAnsi="Arial" w:cs="Arial"/>
          <w:b/>
          <w:bCs/>
        </w:rPr>
        <w:t>Pu</w:t>
      </w:r>
      <w:r w:rsidRPr="00855A02">
        <w:rPr>
          <w:rFonts w:ascii="Arial" w:hAnsi="Arial" w:cs="Arial"/>
          <w:b/>
          <w:bCs/>
        </w:rPr>
        <w:t xml:space="preserve">rchasers </w:t>
      </w:r>
      <w:r w:rsidRPr="00855A02">
        <w:rPr>
          <w:rFonts w:ascii="Arial" w:hAnsi="Arial" w:cs="Arial"/>
        </w:rPr>
        <w:t xml:space="preserve">- what they do on their own and with others to both improve care and improve the health of their employees; and  </w:t>
      </w:r>
    </w:p>
    <w:p w:rsidR="00855A02" w:rsidRPr="00855A02" w:rsidRDefault="00D03CED" w:rsidP="00855A02">
      <w:pPr>
        <w:numPr>
          <w:ilvl w:val="0"/>
          <w:numId w:val="2"/>
        </w:numPr>
        <w:spacing w:after="120" w:line="240" w:lineRule="auto"/>
        <w:rPr>
          <w:rFonts w:ascii="Arial" w:hAnsi="Arial" w:cs="Arial"/>
        </w:rPr>
      </w:pPr>
      <w:r w:rsidRPr="00855A02">
        <w:rPr>
          <w:rFonts w:ascii="Arial" w:hAnsi="Arial" w:cs="Arial"/>
          <w:b/>
          <w:bCs/>
        </w:rPr>
        <w:t>Communities</w:t>
      </w:r>
      <w:r w:rsidRPr="00855A02">
        <w:rPr>
          <w:rFonts w:ascii="Arial" w:hAnsi="Arial" w:cs="Arial"/>
        </w:rPr>
        <w:t xml:space="preserve"> – working collaboratively to improve the well-being of community members and address the social determinants of health.</w:t>
      </w:r>
    </w:p>
    <w:p w:rsidR="008F6B5C" w:rsidRPr="008F6B5C" w:rsidRDefault="00D03CED" w:rsidP="008F6B5C">
      <w:pPr>
        <w:spacing w:after="120" w:line="240" w:lineRule="auto"/>
        <w:rPr>
          <w:rFonts w:ascii="Arial" w:hAnsi="Arial" w:cs="Arial"/>
        </w:rPr>
      </w:pPr>
      <w:r w:rsidRPr="00855A02">
        <w:rPr>
          <w:rFonts w:ascii="Arial" w:hAnsi="Arial" w:cs="Arial"/>
        </w:rPr>
        <w:t>To help achieve these goals, Covered California’s believes</w:t>
      </w:r>
      <w:r w:rsidRPr="00855A02">
        <w:rPr>
          <w:rFonts w:ascii="Arial" w:hAnsi="Arial" w:cs="Arial"/>
        </w:rPr>
        <w:t xml:space="preserve"> that it is important to know what we are trying to achieve. </w:t>
      </w:r>
      <w:r w:rsidRPr="00855A02">
        <w:rPr>
          <w:rFonts w:ascii="Arial" w:hAnsi="Arial" w:cs="Arial"/>
        </w:rPr>
        <w:t>This process began with an initial draft vision for what the future health system would have to look like to meet those goals from the perspectives of each of these major constituencies</w:t>
      </w:r>
      <w:r w:rsidR="00855A02">
        <w:rPr>
          <w:rFonts w:ascii="Arial" w:hAnsi="Arial" w:cs="Arial"/>
        </w:rPr>
        <w:t xml:space="preserve">. </w:t>
      </w:r>
    </w:p>
    <w:p w:rsidR="00F37B44" w:rsidRDefault="00F37B44" w:rsidP="00855A02">
      <w:pPr>
        <w:spacing w:after="120" w:line="240" w:lineRule="auto"/>
        <w:rPr>
          <w:rFonts w:ascii="Arial" w:hAnsi="Arial" w:cs="Arial"/>
          <w:b/>
          <w:bCs/>
        </w:rPr>
      </w:pPr>
      <w:r>
        <w:rPr>
          <w:rFonts w:ascii="Arial" w:hAnsi="Arial" w:cs="Arial"/>
          <w:b/>
          <w:bCs/>
        </w:rPr>
        <w:lastRenderedPageBreak/>
        <w:t>VISION STATEMENTS</w:t>
      </w:r>
    </w:p>
    <w:p w:rsidR="00F37B44" w:rsidRDefault="00F37B44" w:rsidP="00855A02">
      <w:pPr>
        <w:spacing w:after="120" w:line="240" w:lineRule="auto"/>
        <w:rPr>
          <w:rFonts w:ascii="Arial" w:hAnsi="Arial" w:cs="Arial"/>
          <w:b/>
          <w:bCs/>
        </w:rPr>
      </w:pPr>
    </w:p>
    <w:p w:rsidR="00855A02" w:rsidRDefault="00855A02" w:rsidP="00855A02">
      <w:pPr>
        <w:spacing w:after="120" w:line="240" w:lineRule="auto"/>
        <w:rPr>
          <w:rFonts w:ascii="Arial" w:hAnsi="Arial" w:cs="Arial"/>
        </w:rPr>
      </w:pPr>
      <w:r w:rsidRPr="00855A02">
        <w:rPr>
          <w:rFonts w:ascii="Arial" w:hAnsi="Arial" w:cs="Arial"/>
          <w:b/>
          <w:bCs/>
        </w:rPr>
        <w:t>CONSUMERS AND PATIENTS: CURRENT STATE</w:t>
      </w:r>
    </w:p>
    <w:p w:rsidR="00000000" w:rsidRPr="00855A02" w:rsidRDefault="00D03CED" w:rsidP="00855A02">
      <w:pPr>
        <w:numPr>
          <w:ilvl w:val="0"/>
          <w:numId w:val="4"/>
        </w:numPr>
        <w:spacing w:after="120" w:line="240" w:lineRule="auto"/>
        <w:rPr>
          <w:rFonts w:ascii="Arial" w:hAnsi="Arial" w:cs="Arial"/>
        </w:rPr>
      </w:pPr>
      <w:r w:rsidRPr="00855A02">
        <w:rPr>
          <w:rFonts w:ascii="Arial" w:hAnsi="Arial" w:cs="Arial"/>
        </w:rPr>
        <w:t xml:space="preserve">Widespread disparities based on </w:t>
      </w:r>
      <w:r w:rsidRPr="00855A02">
        <w:rPr>
          <w:rFonts w:ascii="Arial" w:hAnsi="Arial" w:cs="Arial"/>
        </w:rPr>
        <w:t>race, ethnicity, socioeconomic status and geography.</w:t>
      </w:r>
    </w:p>
    <w:p w:rsidR="00000000" w:rsidRPr="00855A02" w:rsidRDefault="00D03CED" w:rsidP="00855A02">
      <w:pPr>
        <w:numPr>
          <w:ilvl w:val="0"/>
          <w:numId w:val="4"/>
        </w:numPr>
        <w:spacing w:after="120" w:line="240" w:lineRule="auto"/>
        <w:rPr>
          <w:rFonts w:ascii="Arial" w:hAnsi="Arial" w:cs="Arial"/>
        </w:rPr>
      </w:pPr>
      <w:r w:rsidRPr="00855A02">
        <w:rPr>
          <w:rFonts w:ascii="Arial" w:hAnsi="Arial" w:cs="Arial"/>
        </w:rPr>
        <w:t>Best in the world care for some, poor quality care or no care at all for many others.</w:t>
      </w:r>
    </w:p>
    <w:p w:rsidR="00000000" w:rsidRPr="00855A02" w:rsidRDefault="00D03CED" w:rsidP="00855A02">
      <w:pPr>
        <w:numPr>
          <w:ilvl w:val="0"/>
          <w:numId w:val="4"/>
        </w:numPr>
        <w:spacing w:after="120" w:line="240" w:lineRule="auto"/>
        <w:rPr>
          <w:rFonts w:ascii="Arial" w:hAnsi="Arial" w:cs="Arial"/>
        </w:rPr>
      </w:pPr>
      <w:r w:rsidRPr="00855A02">
        <w:rPr>
          <w:rFonts w:ascii="Arial" w:hAnsi="Arial" w:cs="Arial"/>
        </w:rPr>
        <w:t xml:space="preserve">Massive amounts of data that fails to help consumers or patients. Uncertainty about how to get help and from whom. Lack of information about choices in testing or treatment or how to think about </w:t>
      </w:r>
      <w:r w:rsidRPr="00855A02">
        <w:rPr>
          <w:rFonts w:ascii="Arial" w:hAnsi="Arial" w:cs="Arial"/>
        </w:rPr>
        <w:t xml:space="preserve">those choices based on individual values and preferences. Pervasive lack of trust.  </w:t>
      </w:r>
    </w:p>
    <w:p w:rsidR="00000000" w:rsidRPr="00855A02" w:rsidRDefault="00D03CED" w:rsidP="00855A02">
      <w:pPr>
        <w:numPr>
          <w:ilvl w:val="0"/>
          <w:numId w:val="4"/>
        </w:numPr>
        <w:spacing w:after="120" w:line="240" w:lineRule="auto"/>
        <w:rPr>
          <w:rFonts w:ascii="Arial" w:hAnsi="Arial" w:cs="Arial"/>
        </w:rPr>
      </w:pPr>
      <w:r w:rsidRPr="00855A02">
        <w:rPr>
          <w:rFonts w:ascii="Arial" w:hAnsi="Arial" w:cs="Arial"/>
        </w:rPr>
        <w:t xml:space="preserve">Confusion about what to do to maintain </w:t>
      </w:r>
      <w:r w:rsidRPr="00855A02">
        <w:rPr>
          <w:rFonts w:ascii="Arial" w:hAnsi="Arial" w:cs="Arial"/>
        </w:rPr>
        <w:t>one’s health or manage illness. Numerous barriers to staying healthy. Powerful socioeconomic forces impair good health.</w:t>
      </w:r>
    </w:p>
    <w:p w:rsidR="00000000" w:rsidRPr="00855A02" w:rsidRDefault="00D03CED" w:rsidP="00855A02">
      <w:pPr>
        <w:numPr>
          <w:ilvl w:val="0"/>
          <w:numId w:val="4"/>
        </w:numPr>
        <w:spacing w:after="120" w:line="240" w:lineRule="auto"/>
        <w:rPr>
          <w:rFonts w:ascii="Arial" w:hAnsi="Arial" w:cs="Arial"/>
        </w:rPr>
      </w:pPr>
      <w:r w:rsidRPr="00855A02">
        <w:rPr>
          <w:rFonts w:ascii="Arial" w:hAnsi="Arial" w:cs="Arial"/>
        </w:rPr>
        <w:t>Lack of information on the quality and cost of treatments, providers a</w:t>
      </w:r>
      <w:r w:rsidRPr="00855A02">
        <w:rPr>
          <w:rFonts w:ascii="Arial" w:hAnsi="Arial" w:cs="Arial"/>
        </w:rPr>
        <w:t>nd plans.</w:t>
      </w:r>
    </w:p>
    <w:p w:rsidR="00000000" w:rsidRPr="00855A02" w:rsidRDefault="00D03CED" w:rsidP="00855A02">
      <w:pPr>
        <w:numPr>
          <w:ilvl w:val="0"/>
          <w:numId w:val="4"/>
        </w:numPr>
        <w:spacing w:after="120" w:line="240" w:lineRule="auto"/>
        <w:rPr>
          <w:rFonts w:ascii="Arial" w:hAnsi="Arial" w:cs="Arial"/>
        </w:rPr>
      </w:pPr>
      <w:r w:rsidRPr="00855A02">
        <w:rPr>
          <w:rFonts w:ascii="Arial" w:hAnsi="Arial" w:cs="Arial"/>
        </w:rPr>
        <w:t>Care is increasingly unaffordable and comes with an overwhelming administrative burden.</w:t>
      </w:r>
    </w:p>
    <w:p w:rsidR="00000000" w:rsidRDefault="00D03CED" w:rsidP="00855A02">
      <w:pPr>
        <w:numPr>
          <w:ilvl w:val="0"/>
          <w:numId w:val="4"/>
        </w:numPr>
        <w:spacing w:after="120" w:line="240" w:lineRule="auto"/>
        <w:rPr>
          <w:rFonts w:ascii="Arial" w:hAnsi="Arial" w:cs="Arial"/>
        </w:rPr>
      </w:pPr>
      <w:r w:rsidRPr="00855A02">
        <w:rPr>
          <w:rFonts w:ascii="Arial" w:hAnsi="Arial" w:cs="Arial"/>
        </w:rPr>
        <w:t xml:space="preserve">Choice in health plan and </w:t>
      </w:r>
      <w:r w:rsidRPr="00855A02">
        <w:rPr>
          <w:rFonts w:ascii="Arial" w:hAnsi="Arial" w:cs="Arial"/>
        </w:rPr>
        <w:t xml:space="preserve">health care providers available to many, especially through employer-sponsored coverage and Medicare. </w:t>
      </w:r>
    </w:p>
    <w:p w:rsidR="00855A02" w:rsidRDefault="00855A02" w:rsidP="00855A02">
      <w:pPr>
        <w:spacing w:after="120" w:line="240" w:lineRule="auto"/>
        <w:rPr>
          <w:rFonts w:ascii="Arial" w:hAnsi="Arial" w:cs="Arial"/>
          <w:b/>
          <w:bCs/>
        </w:rPr>
      </w:pPr>
    </w:p>
    <w:p w:rsidR="00855A02" w:rsidRDefault="00855A02" w:rsidP="00855A02">
      <w:pPr>
        <w:spacing w:after="120" w:line="240" w:lineRule="auto"/>
        <w:rPr>
          <w:rFonts w:ascii="Arial" w:hAnsi="Arial" w:cs="Arial"/>
        </w:rPr>
      </w:pPr>
      <w:r w:rsidRPr="00855A02">
        <w:rPr>
          <w:rFonts w:ascii="Arial" w:hAnsi="Arial" w:cs="Arial"/>
          <w:b/>
          <w:bCs/>
        </w:rPr>
        <w:t>CONSUMERS AND PATIENTS: 2030 FUTURE STATE</w:t>
      </w:r>
    </w:p>
    <w:p w:rsidR="00855A02" w:rsidRPr="00855A02" w:rsidRDefault="00855A02" w:rsidP="00855A02">
      <w:pPr>
        <w:spacing w:after="120" w:line="240" w:lineRule="auto"/>
        <w:rPr>
          <w:rFonts w:ascii="Arial" w:hAnsi="Arial" w:cs="Arial"/>
        </w:rPr>
      </w:pPr>
      <w:r w:rsidRPr="00855A02">
        <w:rPr>
          <w:rFonts w:ascii="Arial" w:hAnsi="Arial" w:cs="Arial"/>
          <w:b/>
          <w:bCs/>
        </w:rPr>
        <w:t xml:space="preserve">Consumers and Patients Have Access to a Safe, Timely, Equitable, Effective, Affordable and Patient-Centered Health System </w:t>
      </w:r>
    </w:p>
    <w:p w:rsidR="00855A02" w:rsidRDefault="00855A02" w:rsidP="00855A02">
      <w:pPr>
        <w:spacing w:after="120" w:line="240" w:lineRule="auto"/>
        <w:rPr>
          <w:rFonts w:ascii="Arial" w:hAnsi="Arial" w:cs="Arial"/>
        </w:rPr>
      </w:pPr>
      <w:r w:rsidRPr="00855A02">
        <w:rPr>
          <w:rFonts w:ascii="Arial" w:hAnsi="Arial" w:cs="Arial"/>
        </w:rPr>
        <w:t xml:space="preserve">The health system puts consumers, patients and caregivers needs first, by understanding their preferences, goals, values and assets foremost in a system built through consumer-centered design. Everyone has the information, care and support needed to promote or improve health, seek and obtain care, manage health-related conditions and make health-related decisions. Patients own and control their health information. The evidence required to make informed choices of treatments, providers and plans is sound, trusted and easy to understand. The safety, quality, effectiveness, efficiency and equity of care is continually improving. The health system is affordable, trusted, simple to use, tailored to the needs of each individual and is consuming a declining share of economic resources so that other human needs and wants can be met.  </w:t>
      </w:r>
    </w:p>
    <w:p w:rsidR="00855A02" w:rsidRPr="00855A02" w:rsidRDefault="00855A02" w:rsidP="00855A02">
      <w:pPr>
        <w:spacing w:after="120" w:line="240" w:lineRule="auto"/>
        <w:rPr>
          <w:rFonts w:ascii="Arial" w:hAnsi="Arial" w:cs="Arial"/>
        </w:rPr>
      </w:pPr>
    </w:p>
    <w:p w:rsidR="00855A02" w:rsidRDefault="00855A02">
      <w:pPr>
        <w:rPr>
          <w:rFonts w:ascii="Arial" w:hAnsi="Arial" w:cs="Arial"/>
          <w:b/>
          <w:bCs/>
        </w:rPr>
      </w:pPr>
      <w:r>
        <w:rPr>
          <w:rFonts w:ascii="Arial" w:hAnsi="Arial" w:cs="Arial"/>
          <w:b/>
          <w:bCs/>
        </w:rPr>
        <w:br w:type="page"/>
      </w:r>
    </w:p>
    <w:p w:rsidR="00855A02" w:rsidRDefault="00855A02" w:rsidP="00855A02">
      <w:pPr>
        <w:spacing w:after="120" w:line="240" w:lineRule="auto"/>
        <w:rPr>
          <w:rFonts w:ascii="Arial" w:hAnsi="Arial" w:cs="Arial"/>
        </w:rPr>
      </w:pPr>
      <w:r w:rsidRPr="00855A02">
        <w:rPr>
          <w:rFonts w:ascii="Arial" w:hAnsi="Arial" w:cs="Arial"/>
          <w:b/>
          <w:bCs/>
        </w:rPr>
        <w:lastRenderedPageBreak/>
        <w:t>CLINICIANS: CURRENT STATE</w:t>
      </w:r>
    </w:p>
    <w:p w:rsidR="00000000" w:rsidRPr="00855A02" w:rsidRDefault="00D03CED" w:rsidP="00855A02">
      <w:pPr>
        <w:numPr>
          <w:ilvl w:val="0"/>
          <w:numId w:val="5"/>
        </w:numPr>
        <w:spacing w:after="120" w:line="240" w:lineRule="auto"/>
        <w:rPr>
          <w:rFonts w:ascii="Arial" w:hAnsi="Arial" w:cs="Arial"/>
        </w:rPr>
      </w:pPr>
      <w:r w:rsidRPr="00855A02">
        <w:rPr>
          <w:rFonts w:ascii="Arial" w:hAnsi="Arial" w:cs="Arial"/>
        </w:rPr>
        <w:t>Clinicians’ work too often prioritizes administrative tasks and productivity rather than patient care. Professional values are undermined by payment and management systems that prioritize revenue generation and discriminate based</w:t>
      </w:r>
      <w:r w:rsidRPr="00855A02">
        <w:rPr>
          <w:rFonts w:ascii="Arial" w:hAnsi="Arial" w:cs="Arial"/>
        </w:rPr>
        <w:t xml:space="preserve"> on payer status and income rather than patient needs. </w:t>
      </w:r>
    </w:p>
    <w:p w:rsidR="00000000" w:rsidRPr="00855A02" w:rsidRDefault="00D03CED" w:rsidP="00855A02">
      <w:pPr>
        <w:numPr>
          <w:ilvl w:val="0"/>
          <w:numId w:val="5"/>
        </w:numPr>
        <w:spacing w:after="120" w:line="240" w:lineRule="auto"/>
        <w:rPr>
          <w:rFonts w:ascii="Arial" w:hAnsi="Arial" w:cs="Arial"/>
        </w:rPr>
      </w:pPr>
      <w:r w:rsidRPr="00855A02">
        <w:rPr>
          <w:rFonts w:ascii="Arial" w:hAnsi="Arial" w:cs="Arial"/>
        </w:rPr>
        <w:t xml:space="preserve">The information needed to deliver care is too often unavailable due to siloed, </w:t>
      </w:r>
      <w:r w:rsidRPr="00855A02">
        <w:rPr>
          <w:rFonts w:ascii="Arial" w:hAnsi="Arial" w:cs="Arial"/>
        </w:rPr>
        <w:t>administratively focused, and often burdensome electronic health records.</w:t>
      </w:r>
    </w:p>
    <w:p w:rsidR="00000000" w:rsidRPr="00855A02" w:rsidRDefault="00D03CED" w:rsidP="00855A02">
      <w:pPr>
        <w:numPr>
          <w:ilvl w:val="0"/>
          <w:numId w:val="5"/>
        </w:numPr>
        <w:spacing w:after="120" w:line="240" w:lineRule="auto"/>
        <w:rPr>
          <w:rFonts w:ascii="Arial" w:hAnsi="Arial" w:cs="Arial"/>
        </w:rPr>
      </w:pPr>
      <w:r w:rsidRPr="00855A02">
        <w:rPr>
          <w:rFonts w:ascii="Arial" w:hAnsi="Arial" w:cs="Arial"/>
        </w:rPr>
        <w:t>Physicians (especially, but other clinicians as well) carry high levels of debt that force career choices that are o</w:t>
      </w:r>
      <w:r w:rsidRPr="00855A02">
        <w:rPr>
          <w:rFonts w:ascii="Arial" w:hAnsi="Arial" w:cs="Arial"/>
        </w:rPr>
        <w:t xml:space="preserve">ften disconnected from the motivations that brought them to health care. Too few clinicians are entering primary care. </w:t>
      </w:r>
    </w:p>
    <w:p w:rsidR="00000000" w:rsidRPr="00855A02" w:rsidRDefault="00D03CED" w:rsidP="00855A02">
      <w:pPr>
        <w:numPr>
          <w:ilvl w:val="0"/>
          <w:numId w:val="5"/>
        </w:numPr>
        <w:spacing w:after="120" w:line="240" w:lineRule="auto"/>
        <w:rPr>
          <w:rFonts w:ascii="Arial" w:hAnsi="Arial" w:cs="Arial"/>
        </w:rPr>
      </w:pPr>
      <w:r w:rsidRPr="00855A02">
        <w:rPr>
          <w:rFonts w:ascii="Arial" w:hAnsi="Arial" w:cs="Arial"/>
        </w:rPr>
        <w:t xml:space="preserve">The </w:t>
      </w:r>
      <w:r w:rsidRPr="00855A02">
        <w:rPr>
          <w:rFonts w:ascii="Arial" w:hAnsi="Arial" w:cs="Arial"/>
        </w:rPr>
        <w:t xml:space="preserve">balance between primary and specialty care is tilted toward specialty resulting in unwarranted testing and intervention that drives up cost and often does more harm than good. </w:t>
      </w:r>
    </w:p>
    <w:p w:rsidR="00000000" w:rsidRPr="00855A02" w:rsidRDefault="00D03CED" w:rsidP="00855A02">
      <w:pPr>
        <w:numPr>
          <w:ilvl w:val="0"/>
          <w:numId w:val="5"/>
        </w:numPr>
        <w:spacing w:after="120" w:line="240" w:lineRule="auto"/>
        <w:rPr>
          <w:rFonts w:ascii="Arial" w:hAnsi="Arial" w:cs="Arial"/>
        </w:rPr>
      </w:pPr>
      <w:r w:rsidRPr="00855A02">
        <w:rPr>
          <w:rFonts w:ascii="Arial" w:hAnsi="Arial" w:cs="Arial"/>
        </w:rPr>
        <w:t>The clinician</w:t>
      </w:r>
      <w:r w:rsidRPr="00855A02">
        <w:rPr>
          <w:rFonts w:ascii="Arial" w:hAnsi="Arial" w:cs="Arial"/>
        </w:rPr>
        <w:t xml:space="preserve"> workforce is maldistributed, with rural and low-income communities often underserved. </w:t>
      </w:r>
    </w:p>
    <w:p w:rsidR="00000000" w:rsidRPr="00855A02" w:rsidRDefault="00D03CED" w:rsidP="00855A02">
      <w:pPr>
        <w:numPr>
          <w:ilvl w:val="0"/>
          <w:numId w:val="5"/>
        </w:numPr>
        <w:spacing w:after="120" w:line="240" w:lineRule="auto"/>
        <w:rPr>
          <w:rFonts w:ascii="Arial" w:hAnsi="Arial" w:cs="Arial"/>
        </w:rPr>
      </w:pPr>
      <w:r w:rsidRPr="00855A02">
        <w:rPr>
          <w:rFonts w:ascii="Arial" w:hAnsi="Arial" w:cs="Arial"/>
        </w:rPr>
        <w:t>Physicians increasingly work for corporate medical groups, independent practice associations or health</w:t>
      </w:r>
      <w:r w:rsidRPr="00855A02">
        <w:rPr>
          <w:rFonts w:ascii="Arial" w:hAnsi="Arial" w:cs="Arial"/>
        </w:rPr>
        <w:t xml:space="preserve"> systems rather than on their own. </w:t>
      </w:r>
    </w:p>
    <w:p w:rsidR="00000000" w:rsidRPr="00855A02" w:rsidRDefault="00D03CED" w:rsidP="00855A02">
      <w:pPr>
        <w:numPr>
          <w:ilvl w:val="0"/>
          <w:numId w:val="5"/>
        </w:numPr>
        <w:spacing w:after="120" w:line="240" w:lineRule="auto"/>
        <w:rPr>
          <w:rFonts w:ascii="Arial" w:hAnsi="Arial" w:cs="Arial"/>
        </w:rPr>
      </w:pPr>
      <w:r w:rsidRPr="00855A02">
        <w:rPr>
          <w:rFonts w:ascii="Arial" w:hAnsi="Arial" w:cs="Arial"/>
        </w:rPr>
        <w:t>Although some clinicians make excellent incomes, professional satisfaction is often low and burnout increasing.</w:t>
      </w:r>
    </w:p>
    <w:p w:rsidR="00000000" w:rsidRDefault="00D03CED" w:rsidP="00855A02">
      <w:pPr>
        <w:numPr>
          <w:ilvl w:val="0"/>
          <w:numId w:val="5"/>
        </w:numPr>
        <w:spacing w:after="120" w:line="240" w:lineRule="auto"/>
        <w:rPr>
          <w:rFonts w:ascii="Arial" w:hAnsi="Arial" w:cs="Arial"/>
        </w:rPr>
      </w:pPr>
      <w:r w:rsidRPr="00855A02">
        <w:rPr>
          <w:rFonts w:ascii="Arial" w:hAnsi="Arial" w:cs="Arial"/>
        </w:rPr>
        <w:t>Collaborative, team-based care models are gaining traction, but far from the norm in the practice setting.</w:t>
      </w:r>
    </w:p>
    <w:p w:rsidR="00F37B44" w:rsidRDefault="00F37B44" w:rsidP="00855A02">
      <w:pPr>
        <w:spacing w:after="120" w:line="240" w:lineRule="auto"/>
        <w:rPr>
          <w:rFonts w:ascii="Arial" w:hAnsi="Arial" w:cs="Arial"/>
          <w:b/>
          <w:bCs/>
        </w:rPr>
      </w:pPr>
    </w:p>
    <w:p w:rsidR="00855A02" w:rsidRDefault="00855A02" w:rsidP="00855A02">
      <w:pPr>
        <w:spacing w:after="120" w:line="240" w:lineRule="auto"/>
        <w:rPr>
          <w:rFonts w:ascii="Arial" w:hAnsi="Arial" w:cs="Arial"/>
        </w:rPr>
      </w:pPr>
      <w:r w:rsidRPr="00855A02">
        <w:rPr>
          <w:rFonts w:ascii="Arial" w:hAnsi="Arial" w:cs="Arial"/>
          <w:b/>
          <w:bCs/>
        </w:rPr>
        <w:t>CLINICIANS: 2030 FUTURE STATE</w:t>
      </w:r>
    </w:p>
    <w:p w:rsidR="00855A02" w:rsidRPr="00855A02" w:rsidRDefault="00855A02" w:rsidP="00855A02">
      <w:pPr>
        <w:spacing w:after="120" w:line="240" w:lineRule="auto"/>
        <w:rPr>
          <w:rFonts w:ascii="Arial" w:hAnsi="Arial" w:cs="Arial"/>
        </w:rPr>
      </w:pPr>
      <w:r w:rsidRPr="00855A02">
        <w:rPr>
          <w:rFonts w:ascii="Arial" w:hAnsi="Arial" w:cs="Arial"/>
          <w:b/>
          <w:bCs/>
        </w:rPr>
        <w:t>Clinicians are Empowered and Supported to Deliver the Best Possible Care for Their Patients</w:t>
      </w:r>
    </w:p>
    <w:p w:rsidR="00855A02" w:rsidRPr="00855A02" w:rsidRDefault="00855A02" w:rsidP="00855A02">
      <w:pPr>
        <w:spacing w:after="120" w:line="240" w:lineRule="auto"/>
        <w:rPr>
          <w:rFonts w:ascii="Arial" w:hAnsi="Arial" w:cs="Arial"/>
        </w:rPr>
      </w:pPr>
      <w:r w:rsidRPr="00855A02">
        <w:rPr>
          <w:rFonts w:ascii="Arial" w:hAnsi="Arial" w:cs="Arial"/>
        </w:rPr>
        <w:t>Physicians and other clinicians are working in health systems where they have the training, support, resources, time and information needed to deliver the best possible care to their patients while contributing to improving the health of their community. The foundation of this care is accessible, data-driven, team-based primary care. A broader range of clinicians, beyond physicians, provide care to patients based on their health needs. Information systems integrate comprehensive historical and real-time clinical data to support patient-centered collaborative decision-making, health system improvement and accountability, all with minimal administrative work on the part of clinicians. Universal access and alternative payment models enable health systems and clinicians to provide care to all who need it and be rewarded financially for improving both health and care. The health professional workforce is trusted and valued, collaborative and team oriented, and reflects the diversity of the populations health systems serve. Professional values are prioritized and joy in work has returned.</w:t>
      </w:r>
    </w:p>
    <w:p w:rsidR="00855A02" w:rsidRPr="00855A02" w:rsidRDefault="00855A02" w:rsidP="00855A02">
      <w:pPr>
        <w:spacing w:after="120" w:line="240" w:lineRule="auto"/>
        <w:rPr>
          <w:rFonts w:ascii="Arial" w:hAnsi="Arial" w:cs="Arial"/>
        </w:rPr>
      </w:pPr>
    </w:p>
    <w:p w:rsidR="00855A02" w:rsidRPr="00855A02" w:rsidRDefault="00855A02" w:rsidP="00855A02">
      <w:pPr>
        <w:spacing w:after="120" w:line="240" w:lineRule="auto"/>
        <w:rPr>
          <w:rFonts w:ascii="Arial" w:hAnsi="Arial" w:cs="Arial"/>
        </w:rPr>
      </w:pPr>
    </w:p>
    <w:p w:rsidR="00855A02" w:rsidRPr="00855A02" w:rsidRDefault="00855A02" w:rsidP="00855A02">
      <w:pPr>
        <w:spacing w:after="120" w:line="240" w:lineRule="auto"/>
        <w:rPr>
          <w:rFonts w:ascii="Arial" w:hAnsi="Arial" w:cs="Arial"/>
        </w:rPr>
      </w:pPr>
    </w:p>
    <w:p w:rsidR="00855A02" w:rsidRPr="00855A02" w:rsidRDefault="00855A02" w:rsidP="00855A02">
      <w:pPr>
        <w:spacing w:after="120" w:line="240" w:lineRule="auto"/>
        <w:rPr>
          <w:rFonts w:ascii="Arial" w:hAnsi="Arial" w:cs="Arial"/>
        </w:rPr>
      </w:pPr>
    </w:p>
    <w:p w:rsidR="00570D0F" w:rsidRDefault="00570D0F" w:rsidP="00570D0F">
      <w:pPr>
        <w:spacing w:after="120" w:line="240" w:lineRule="auto"/>
        <w:rPr>
          <w:rFonts w:ascii="Arial" w:hAnsi="Arial" w:cs="Arial"/>
        </w:rPr>
      </w:pPr>
      <w:r w:rsidRPr="00570D0F">
        <w:rPr>
          <w:rFonts w:ascii="Arial" w:hAnsi="Arial" w:cs="Arial"/>
          <w:b/>
          <w:bCs/>
        </w:rPr>
        <w:lastRenderedPageBreak/>
        <w:t>HOSPITALS: CURRENT STATE</w:t>
      </w:r>
    </w:p>
    <w:p w:rsidR="00000000" w:rsidRPr="00570D0F" w:rsidRDefault="00D03CED" w:rsidP="00570D0F">
      <w:pPr>
        <w:numPr>
          <w:ilvl w:val="0"/>
          <w:numId w:val="6"/>
        </w:numPr>
        <w:spacing w:after="120" w:line="240" w:lineRule="auto"/>
        <w:rPr>
          <w:rFonts w:ascii="Arial" w:hAnsi="Arial" w:cs="Arial"/>
        </w:rPr>
      </w:pPr>
      <w:r w:rsidRPr="00570D0F">
        <w:rPr>
          <w:rFonts w:ascii="Arial" w:hAnsi="Arial" w:cs="Arial"/>
        </w:rPr>
        <w:t>Hospitals are essential community resources, as the only current pla</w:t>
      </w:r>
      <w:r w:rsidRPr="00570D0F">
        <w:rPr>
          <w:rFonts w:ascii="Arial" w:hAnsi="Arial" w:cs="Arial"/>
        </w:rPr>
        <w:t xml:space="preserve">ce to treat seriously ill patients, deliver technologically advanced interventions and emergency treatment. Some hospitals provide highly specialized, high quality care. </w:t>
      </w:r>
    </w:p>
    <w:p w:rsidR="00000000" w:rsidRPr="00570D0F" w:rsidRDefault="00D03CED" w:rsidP="00570D0F">
      <w:pPr>
        <w:numPr>
          <w:ilvl w:val="0"/>
          <w:numId w:val="6"/>
        </w:numPr>
        <w:spacing w:after="120" w:line="240" w:lineRule="auto"/>
        <w:rPr>
          <w:rFonts w:ascii="Arial" w:hAnsi="Arial" w:cs="Arial"/>
        </w:rPr>
      </w:pPr>
      <w:r w:rsidRPr="00570D0F">
        <w:rPr>
          <w:rFonts w:ascii="Arial" w:hAnsi="Arial" w:cs="Arial"/>
        </w:rPr>
        <w:t>Hospitals are impor</w:t>
      </w:r>
      <w:r w:rsidRPr="00570D0F">
        <w:rPr>
          <w:rFonts w:ascii="Arial" w:hAnsi="Arial" w:cs="Arial"/>
        </w:rPr>
        <w:t>tant educational sites for physicians, nurses and other health professionals.</w:t>
      </w:r>
    </w:p>
    <w:p w:rsidR="00000000" w:rsidRPr="00570D0F" w:rsidRDefault="00D03CED" w:rsidP="00570D0F">
      <w:pPr>
        <w:numPr>
          <w:ilvl w:val="0"/>
          <w:numId w:val="6"/>
        </w:numPr>
        <w:spacing w:after="120" w:line="240" w:lineRule="auto"/>
        <w:rPr>
          <w:rFonts w:ascii="Arial" w:hAnsi="Arial" w:cs="Arial"/>
        </w:rPr>
      </w:pPr>
      <w:r w:rsidRPr="00570D0F">
        <w:rPr>
          <w:rFonts w:ascii="Arial" w:hAnsi="Arial" w:cs="Arial"/>
        </w:rPr>
        <w:t xml:space="preserve">Hospitals are increasingly the only source of care for the </w:t>
      </w:r>
      <w:proofErr w:type="gramStart"/>
      <w:r w:rsidRPr="00570D0F">
        <w:rPr>
          <w:rFonts w:ascii="Arial" w:hAnsi="Arial" w:cs="Arial"/>
        </w:rPr>
        <w:t>uninsured, but</w:t>
      </w:r>
      <w:proofErr w:type="gramEnd"/>
      <w:r w:rsidRPr="00570D0F">
        <w:rPr>
          <w:rFonts w:ascii="Arial" w:hAnsi="Arial" w:cs="Arial"/>
        </w:rPr>
        <w:t xml:space="preserve"> are hard pressed to deliver needed pri</w:t>
      </w:r>
      <w:r w:rsidRPr="00570D0F">
        <w:rPr>
          <w:rFonts w:ascii="Arial" w:hAnsi="Arial" w:cs="Arial"/>
        </w:rPr>
        <w:t xml:space="preserve">mary and chronic care to the uninsured and are an ineffective way to finance that care. </w:t>
      </w:r>
    </w:p>
    <w:p w:rsidR="00000000" w:rsidRPr="00570D0F" w:rsidRDefault="00D03CED" w:rsidP="00570D0F">
      <w:pPr>
        <w:numPr>
          <w:ilvl w:val="0"/>
          <w:numId w:val="6"/>
        </w:numPr>
        <w:spacing w:after="120" w:line="240" w:lineRule="auto"/>
        <w:rPr>
          <w:rFonts w:ascii="Arial" w:hAnsi="Arial" w:cs="Arial"/>
        </w:rPr>
      </w:pPr>
      <w:r w:rsidRPr="00570D0F">
        <w:rPr>
          <w:rFonts w:ascii="Arial" w:hAnsi="Arial" w:cs="Arial"/>
        </w:rPr>
        <w:t>Hospitals’ financial models are largely based on fee-for-service payment systems that reward volume a</w:t>
      </w:r>
      <w:r w:rsidRPr="00570D0F">
        <w:rPr>
          <w:rFonts w:ascii="Arial" w:hAnsi="Arial" w:cs="Arial"/>
        </w:rPr>
        <w:t>nd high-margin (often high cost) services and attracting high-paying patients. The result in many communities is a medical arms race that has led to unnecessarily extravagant and expensive facilities.</w:t>
      </w:r>
    </w:p>
    <w:p w:rsidR="00000000" w:rsidRPr="00570D0F" w:rsidRDefault="00D03CED" w:rsidP="00570D0F">
      <w:pPr>
        <w:numPr>
          <w:ilvl w:val="0"/>
          <w:numId w:val="6"/>
        </w:numPr>
        <w:spacing w:after="120" w:line="240" w:lineRule="auto"/>
        <w:rPr>
          <w:rFonts w:ascii="Arial" w:hAnsi="Arial" w:cs="Arial"/>
        </w:rPr>
      </w:pPr>
      <w:r w:rsidRPr="00570D0F">
        <w:rPr>
          <w:rFonts w:ascii="Arial" w:hAnsi="Arial" w:cs="Arial"/>
        </w:rPr>
        <w:t xml:space="preserve">Hospital mergers are leading to anti-competitive practices and higher prices, with no evidence of gains in quality. For many hospitals, financial performance is their priority.  Quality and safety are rarely prioritized and remain uneven. </w:t>
      </w:r>
    </w:p>
    <w:p w:rsidR="00000000" w:rsidRPr="00570D0F" w:rsidRDefault="00D03CED" w:rsidP="00570D0F">
      <w:pPr>
        <w:numPr>
          <w:ilvl w:val="0"/>
          <w:numId w:val="6"/>
        </w:numPr>
        <w:spacing w:after="120" w:line="240" w:lineRule="auto"/>
        <w:rPr>
          <w:rFonts w:ascii="Arial" w:hAnsi="Arial" w:cs="Arial"/>
        </w:rPr>
      </w:pPr>
      <w:r w:rsidRPr="00570D0F">
        <w:rPr>
          <w:rFonts w:ascii="Arial" w:hAnsi="Arial" w:cs="Arial"/>
        </w:rPr>
        <w:t>Hospitals in rural areas are closing leading to concerns about access to critical care in these areas.</w:t>
      </w:r>
    </w:p>
    <w:p w:rsidR="00000000" w:rsidRDefault="00D03CED" w:rsidP="00570D0F">
      <w:pPr>
        <w:numPr>
          <w:ilvl w:val="0"/>
          <w:numId w:val="6"/>
        </w:numPr>
        <w:spacing w:after="120" w:line="240" w:lineRule="auto"/>
        <w:rPr>
          <w:rFonts w:ascii="Arial" w:hAnsi="Arial" w:cs="Arial"/>
        </w:rPr>
      </w:pPr>
      <w:r w:rsidRPr="00570D0F">
        <w:rPr>
          <w:rFonts w:ascii="Arial" w:hAnsi="Arial" w:cs="Arial"/>
        </w:rPr>
        <w:t>Hospitals are large employ</w:t>
      </w:r>
      <w:r w:rsidRPr="00570D0F">
        <w:rPr>
          <w:rFonts w:ascii="Arial" w:hAnsi="Arial" w:cs="Arial"/>
        </w:rPr>
        <w:t>ers and are politically powerful.</w:t>
      </w:r>
    </w:p>
    <w:p w:rsidR="00F37B44" w:rsidRDefault="00F37B44" w:rsidP="00F37B44">
      <w:pPr>
        <w:spacing w:after="120" w:line="240" w:lineRule="auto"/>
        <w:rPr>
          <w:rFonts w:ascii="Arial" w:hAnsi="Arial" w:cs="Arial"/>
          <w:b/>
          <w:bCs/>
        </w:rPr>
      </w:pPr>
    </w:p>
    <w:p w:rsidR="00F37B44" w:rsidRDefault="00F37B44" w:rsidP="00F37B44">
      <w:pPr>
        <w:spacing w:after="120" w:line="240" w:lineRule="auto"/>
        <w:rPr>
          <w:rFonts w:ascii="Arial" w:hAnsi="Arial" w:cs="Arial"/>
        </w:rPr>
      </w:pPr>
      <w:r w:rsidRPr="00F37B44">
        <w:rPr>
          <w:rFonts w:ascii="Arial" w:hAnsi="Arial" w:cs="Arial"/>
          <w:b/>
          <w:bCs/>
        </w:rPr>
        <w:t>HOSPITALS: 2030 FUTURE STATE</w:t>
      </w:r>
    </w:p>
    <w:p w:rsidR="00F37B44" w:rsidRPr="00F37B44" w:rsidRDefault="00F37B44" w:rsidP="00F37B44">
      <w:pPr>
        <w:spacing w:after="120" w:line="240" w:lineRule="auto"/>
        <w:rPr>
          <w:rFonts w:ascii="Arial" w:hAnsi="Arial" w:cs="Arial"/>
        </w:rPr>
      </w:pPr>
      <w:r w:rsidRPr="00F37B44">
        <w:rPr>
          <w:rFonts w:ascii="Arial" w:hAnsi="Arial" w:cs="Arial"/>
          <w:b/>
          <w:bCs/>
        </w:rPr>
        <w:t>Hospitals and other Facilities are Continuously Refining Their Roles as Components of Health Systems</w:t>
      </w:r>
    </w:p>
    <w:p w:rsidR="00F37B44" w:rsidRDefault="00F37B44" w:rsidP="00F37B44">
      <w:pPr>
        <w:spacing w:after="120" w:line="240" w:lineRule="auto"/>
        <w:rPr>
          <w:rFonts w:ascii="Arial" w:hAnsi="Arial" w:cs="Arial"/>
        </w:rPr>
      </w:pPr>
      <w:r w:rsidRPr="00F37B44">
        <w:rPr>
          <w:rFonts w:ascii="Arial" w:hAnsi="Arial" w:cs="Arial"/>
        </w:rPr>
        <w:t xml:space="preserve">Advances in technology, remote monitoring, telemedicine and payment systems have shifted most acute and chronic care to home and community-based facilities, leading to the “right-sizing” of hospitals. Facility-based care is an integrated component of health systems where safety and quality are outstanding; the quality and cost of care are continuously evaluated and transparently reported. Value-based payment is fostering the continued redesign of care to reduce costs and improve safety and has led health systems to prioritize the public good. Universal insurance and excellent access to all levels of service have eliminated hospital emergency departments as the main access point to care for uninsured patients. Health professional education is no longer hospital-focused and is taking place in settings best suited to the learner’s needs.  </w:t>
      </w:r>
    </w:p>
    <w:p w:rsidR="00F37B44" w:rsidRDefault="00F37B44">
      <w:pPr>
        <w:rPr>
          <w:rFonts w:ascii="Arial" w:hAnsi="Arial" w:cs="Arial"/>
        </w:rPr>
      </w:pPr>
      <w:r>
        <w:rPr>
          <w:rFonts w:ascii="Arial" w:hAnsi="Arial" w:cs="Arial"/>
        </w:rPr>
        <w:br w:type="page"/>
      </w:r>
    </w:p>
    <w:p w:rsidR="00F37B44" w:rsidRDefault="00F37B44" w:rsidP="00F37B44">
      <w:pPr>
        <w:spacing w:after="120" w:line="240" w:lineRule="auto"/>
        <w:rPr>
          <w:rFonts w:ascii="Arial" w:hAnsi="Arial" w:cs="Arial"/>
        </w:rPr>
      </w:pPr>
      <w:r w:rsidRPr="00F37B44">
        <w:rPr>
          <w:rFonts w:ascii="Arial" w:hAnsi="Arial" w:cs="Arial"/>
          <w:b/>
          <w:bCs/>
        </w:rPr>
        <w:lastRenderedPageBreak/>
        <w:t>HEALTH PLANS: CURRENT STATE</w:t>
      </w:r>
    </w:p>
    <w:p w:rsidR="00000000" w:rsidRPr="00F37B44" w:rsidRDefault="00D03CED" w:rsidP="00F37B44">
      <w:pPr>
        <w:numPr>
          <w:ilvl w:val="0"/>
          <w:numId w:val="7"/>
        </w:numPr>
        <w:spacing w:after="120" w:line="240" w:lineRule="auto"/>
        <w:rPr>
          <w:rFonts w:ascii="Arial" w:hAnsi="Arial" w:cs="Arial"/>
        </w:rPr>
      </w:pPr>
      <w:r w:rsidRPr="00F37B44">
        <w:rPr>
          <w:rFonts w:ascii="Arial" w:hAnsi="Arial" w:cs="Arial"/>
        </w:rPr>
        <w:t xml:space="preserve">Health plans compete in a complex market where provider consolidation and pricing </w:t>
      </w:r>
      <w:r w:rsidRPr="00F37B44">
        <w:rPr>
          <w:rFonts w:ascii="Arial" w:hAnsi="Arial" w:cs="Arial"/>
        </w:rPr>
        <w:t xml:space="preserve">power is increasing, relationships are in constant flux and contracts must be continuously renegotiated. </w:t>
      </w:r>
    </w:p>
    <w:p w:rsidR="00000000" w:rsidRPr="00F37B44" w:rsidRDefault="00D03CED" w:rsidP="00F37B44">
      <w:pPr>
        <w:numPr>
          <w:ilvl w:val="0"/>
          <w:numId w:val="7"/>
        </w:numPr>
        <w:spacing w:after="120" w:line="240" w:lineRule="auto"/>
        <w:rPr>
          <w:rFonts w:ascii="Arial" w:hAnsi="Arial" w:cs="Arial"/>
        </w:rPr>
      </w:pPr>
      <w:r w:rsidRPr="00F37B44">
        <w:rPr>
          <w:rFonts w:ascii="Arial" w:hAnsi="Arial" w:cs="Arial"/>
        </w:rPr>
        <w:t>Limited regulation has led to the proliferation of plan designs that are often custo</w:t>
      </w:r>
      <w:r w:rsidRPr="00F37B44">
        <w:rPr>
          <w:rFonts w:ascii="Arial" w:hAnsi="Arial" w:cs="Arial"/>
        </w:rPr>
        <w:t xml:space="preserve">mized for each purchaser, sometimes with multiple plan designs. This contributes to high administrative costs and consumer, provider and purchaser confusion. </w:t>
      </w:r>
    </w:p>
    <w:p w:rsidR="00000000" w:rsidRPr="00F37B44" w:rsidRDefault="00D03CED" w:rsidP="00F37B44">
      <w:pPr>
        <w:numPr>
          <w:ilvl w:val="0"/>
          <w:numId w:val="7"/>
        </w:numPr>
        <w:spacing w:after="120" w:line="240" w:lineRule="auto"/>
        <w:rPr>
          <w:rFonts w:ascii="Arial" w:hAnsi="Arial" w:cs="Arial"/>
        </w:rPr>
      </w:pPr>
      <w:r w:rsidRPr="00F37B44">
        <w:rPr>
          <w:rFonts w:ascii="Arial" w:hAnsi="Arial" w:cs="Arial"/>
        </w:rPr>
        <w:t xml:space="preserve">Provider networks are complex, </w:t>
      </w:r>
      <w:r w:rsidRPr="00F37B44">
        <w:rPr>
          <w:rFonts w:ascii="Arial" w:hAnsi="Arial" w:cs="Arial"/>
        </w:rPr>
        <w:t>overlapping and difficult for consumers to understand. Primary care clinicians often work with several organized physician groups interfering with their ability to assume the leadership roles that are needed. The quality and costs of providers in any netwo</w:t>
      </w:r>
      <w:r w:rsidRPr="00F37B44">
        <w:rPr>
          <w:rFonts w:ascii="Arial" w:hAnsi="Arial" w:cs="Arial"/>
        </w:rPr>
        <w:t xml:space="preserve">rk – whether overall or for specific conditions – are unknown, forcing consumers to choose based on reputation or price, not meaningful measures of value. </w:t>
      </w:r>
    </w:p>
    <w:p w:rsidR="00000000" w:rsidRPr="00F37B44" w:rsidRDefault="00D03CED" w:rsidP="00F37B44">
      <w:pPr>
        <w:numPr>
          <w:ilvl w:val="0"/>
          <w:numId w:val="7"/>
        </w:numPr>
        <w:spacing w:after="120" w:line="240" w:lineRule="auto"/>
        <w:rPr>
          <w:rFonts w:ascii="Arial" w:hAnsi="Arial" w:cs="Arial"/>
        </w:rPr>
      </w:pPr>
      <w:r w:rsidRPr="00F37B44">
        <w:rPr>
          <w:rFonts w:ascii="Arial" w:hAnsi="Arial" w:cs="Arial"/>
        </w:rPr>
        <w:t>For some plans, risk avoidance rem</w:t>
      </w:r>
      <w:r w:rsidRPr="00F37B44">
        <w:rPr>
          <w:rFonts w:ascii="Arial" w:hAnsi="Arial" w:cs="Arial"/>
        </w:rPr>
        <w:t>ains an effective strategy for maximizing profits. The complexity of the market means that plans are not competing to improve quality and affordability for consumers.</w:t>
      </w:r>
    </w:p>
    <w:p w:rsidR="00000000" w:rsidRDefault="00D03CED" w:rsidP="00F37B44">
      <w:pPr>
        <w:numPr>
          <w:ilvl w:val="0"/>
          <w:numId w:val="7"/>
        </w:numPr>
        <w:spacing w:after="120" w:line="240" w:lineRule="auto"/>
        <w:rPr>
          <w:rFonts w:ascii="Arial" w:hAnsi="Arial" w:cs="Arial"/>
        </w:rPr>
      </w:pPr>
      <w:r w:rsidRPr="00F37B44">
        <w:rPr>
          <w:rFonts w:ascii="Arial" w:hAnsi="Arial" w:cs="Arial"/>
        </w:rPr>
        <w:t>Some plans have demonst</w:t>
      </w:r>
      <w:r w:rsidRPr="00F37B44">
        <w:rPr>
          <w:rFonts w:ascii="Arial" w:hAnsi="Arial" w:cs="Arial"/>
        </w:rPr>
        <w:t xml:space="preserve">rated the ability to provide quality care through provider-plan partnerships, innovative care models that include addressing social needs, and leveraging clinical and patient decision-support technology.  </w:t>
      </w:r>
    </w:p>
    <w:p w:rsidR="00F37B44" w:rsidRDefault="00F37B44" w:rsidP="00F37B44">
      <w:pPr>
        <w:spacing w:after="120"/>
        <w:rPr>
          <w:rFonts w:ascii="Arial" w:hAnsi="Arial" w:cs="Arial"/>
          <w:b/>
          <w:bCs/>
        </w:rPr>
      </w:pPr>
    </w:p>
    <w:p w:rsidR="00F37B44" w:rsidRDefault="00F37B44" w:rsidP="00F37B44">
      <w:pPr>
        <w:spacing w:after="120"/>
        <w:rPr>
          <w:rFonts w:ascii="Arial" w:hAnsi="Arial" w:cs="Arial"/>
          <w:b/>
          <w:bCs/>
        </w:rPr>
      </w:pPr>
      <w:r w:rsidRPr="00F37B44">
        <w:rPr>
          <w:rFonts w:ascii="Arial" w:hAnsi="Arial" w:cs="Arial"/>
          <w:b/>
          <w:bCs/>
        </w:rPr>
        <w:t>HEALTH PLANS: 2030 FUTURE STATE</w:t>
      </w:r>
    </w:p>
    <w:p w:rsidR="00F37B44" w:rsidRPr="00F37B44" w:rsidRDefault="00F37B44" w:rsidP="00F37B44">
      <w:pPr>
        <w:spacing w:after="120"/>
        <w:rPr>
          <w:rFonts w:ascii="Arial" w:hAnsi="Arial" w:cs="Arial"/>
        </w:rPr>
      </w:pPr>
      <w:r w:rsidRPr="00F37B44">
        <w:rPr>
          <w:rFonts w:ascii="Arial" w:hAnsi="Arial" w:cs="Arial"/>
          <w:b/>
          <w:bCs/>
        </w:rPr>
        <w:t>Health Plan Offerings are Standardized and Anchored in Partnerships with Providers that Improve Value</w:t>
      </w:r>
    </w:p>
    <w:p w:rsidR="00F37B44" w:rsidRPr="00F37B44" w:rsidRDefault="00F37B44" w:rsidP="00F37B44">
      <w:pPr>
        <w:spacing w:after="120"/>
        <w:rPr>
          <w:rFonts w:ascii="Arial" w:hAnsi="Arial" w:cs="Arial"/>
        </w:rPr>
      </w:pPr>
      <w:r w:rsidRPr="00F37B44">
        <w:rPr>
          <w:rFonts w:ascii="Arial" w:hAnsi="Arial" w:cs="Arial"/>
        </w:rPr>
        <w:t xml:space="preserve">Plans compete on value that is defined by quality and affordability. Consumers choose coverage through easy-to-use information services that offer a limited number of plans with identical benefit designs, each with well-defined networks of providers paid under a unified population-based budget, using a common, agreed upon formulary. Common benefit designs, uniform billing and administrative systems have markedly reduced administrative costs. Comprehensive performance measures at both the provider and plan level enable meaningful competition among a reasonable number of provider-plan partnerships in local health care markets. Plans focus on improving care, reducing costs, ensure consumer satisfaction and promoting health equity. </w:t>
      </w:r>
    </w:p>
    <w:p w:rsidR="00F37B44" w:rsidRDefault="00F37B44">
      <w:pPr>
        <w:rPr>
          <w:rFonts w:ascii="Arial" w:hAnsi="Arial" w:cs="Arial"/>
        </w:rPr>
      </w:pPr>
      <w:r>
        <w:rPr>
          <w:rFonts w:ascii="Arial" w:hAnsi="Arial" w:cs="Arial"/>
        </w:rPr>
        <w:br w:type="page"/>
      </w:r>
    </w:p>
    <w:p w:rsidR="00F37B44" w:rsidRDefault="00F37B44" w:rsidP="00F37B44">
      <w:pPr>
        <w:spacing w:after="120" w:line="240" w:lineRule="auto"/>
        <w:rPr>
          <w:rFonts w:ascii="Arial" w:hAnsi="Arial" w:cs="Arial"/>
        </w:rPr>
      </w:pPr>
      <w:r w:rsidRPr="00F37B44">
        <w:rPr>
          <w:rFonts w:ascii="Arial" w:hAnsi="Arial" w:cs="Arial"/>
          <w:b/>
          <w:bCs/>
        </w:rPr>
        <w:lastRenderedPageBreak/>
        <w:t>PURCHASERS: CURRENT STATE</w:t>
      </w:r>
    </w:p>
    <w:p w:rsidR="00000000" w:rsidRPr="00F37B44" w:rsidRDefault="00D03CED" w:rsidP="00F37B44">
      <w:pPr>
        <w:numPr>
          <w:ilvl w:val="0"/>
          <w:numId w:val="8"/>
        </w:numPr>
        <w:spacing w:after="120" w:line="240" w:lineRule="auto"/>
        <w:rPr>
          <w:rFonts w:ascii="Arial" w:hAnsi="Arial" w:cs="Arial"/>
        </w:rPr>
      </w:pPr>
      <w:r w:rsidRPr="00F37B44">
        <w:rPr>
          <w:rFonts w:ascii="Arial" w:hAnsi="Arial" w:cs="Arial"/>
        </w:rPr>
        <w:t>Purchasers’ efforts to slow healthcare costs are largely ineffective; these mounting</w:t>
      </w:r>
      <w:r w:rsidRPr="00F37B44">
        <w:rPr>
          <w:rFonts w:ascii="Arial" w:hAnsi="Arial" w:cs="Arial"/>
        </w:rPr>
        <w:t xml:space="preserve"> costs consume an increasing share of employee compensation and reduce take home pay.</w:t>
      </w:r>
    </w:p>
    <w:p w:rsidR="00000000" w:rsidRPr="00F37B44" w:rsidRDefault="00D03CED" w:rsidP="00F37B44">
      <w:pPr>
        <w:numPr>
          <w:ilvl w:val="0"/>
          <w:numId w:val="8"/>
        </w:numPr>
        <w:spacing w:after="120" w:line="240" w:lineRule="auto"/>
        <w:rPr>
          <w:rFonts w:ascii="Arial" w:hAnsi="Arial" w:cs="Arial"/>
        </w:rPr>
      </w:pPr>
      <w:r w:rsidRPr="00F37B44">
        <w:rPr>
          <w:rFonts w:ascii="Arial" w:hAnsi="Arial" w:cs="Arial"/>
        </w:rPr>
        <w:t xml:space="preserve">Purchasers negotiate individually with health insurers over details of benefits, plan design and prices </w:t>
      </w:r>
      <w:r w:rsidRPr="00F37B44">
        <w:rPr>
          <w:rFonts w:ascii="Arial" w:hAnsi="Arial" w:cs="Arial"/>
        </w:rPr>
        <w:t xml:space="preserve">that have little impact on the forces driving rising costs or variable quality. Lack of broad alignment limits purchasers’ leverage and impact. </w:t>
      </w:r>
    </w:p>
    <w:p w:rsidR="00000000" w:rsidRPr="00F37B44" w:rsidRDefault="00D03CED" w:rsidP="00F37B44">
      <w:pPr>
        <w:numPr>
          <w:ilvl w:val="0"/>
          <w:numId w:val="8"/>
        </w:numPr>
        <w:spacing w:after="120" w:line="240" w:lineRule="auto"/>
        <w:rPr>
          <w:rFonts w:ascii="Arial" w:hAnsi="Arial" w:cs="Arial"/>
        </w:rPr>
      </w:pPr>
      <w:r w:rsidRPr="00F37B44">
        <w:rPr>
          <w:rFonts w:ascii="Arial" w:hAnsi="Arial" w:cs="Arial"/>
        </w:rPr>
        <w:t>Some purchasers are aligning to address speci</w:t>
      </w:r>
      <w:r w:rsidRPr="00F37B44">
        <w:rPr>
          <w:rFonts w:ascii="Arial" w:hAnsi="Arial" w:cs="Arial"/>
        </w:rPr>
        <w:t xml:space="preserve">fic health system challenges or health conditions with success. </w:t>
      </w:r>
    </w:p>
    <w:p w:rsidR="00000000" w:rsidRDefault="00D03CED" w:rsidP="00F37B44">
      <w:pPr>
        <w:numPr>
          <w:ilvl w:val="0"/>
          <w:numId w:val="8"/>
        </w:numPr>
        <w:spacing w:after="120" w:line="240" w:lineRule="auto"/>
        <w:rPr>
          <w:rFonts w:ascii="Arial" w:hAnsi="Arial" w:cs="Arial"/>
        </w:rPr>
      </w:pPr>
      <w:r w:rsidRPr="00F37B44">
        <w:rPr>
          <w:rFonts w:ascii="Arial" w:hAnsi="Arial" w:cs="Arial"/>
        </w:rPr>
        <w:t>Limited information is available on the relative performance of treatments, providers and plans, or the effectiveness of diff</w:t>
      </w:r>
      <w:r w:rsidRPr="00F37B44">
        <w:rPr>
          <w:rFonts w:ascii="Arial" w:hAnsi="Arial" w:cs="Arial"/>
        </w:rPr>
        <w:t>erent policy approaches to improving health or health care.</w:t>
      </w:r>
    </w:p>
    <w:p w:rsidR="00F37B44" w:rsidRDefault="00F37B44" w:rsidP="00F37B44">
      <w:pPr>
        <w:spacing w:after="120" w:line="240" w:lineRule="auto"/>
        <w:rPr>
          <w:rFonts w:ascii="Arial" w:hAnsi="Arial" w:cs="Arial"/>
          <w:b/>
          <w:bCs/>
        </w:rPr>
      </w:pPr>
    </w:p>
    <w:p w:rsidR="00F37B44" w:rsidRDefault="00F37B44" w:rsidP="00F37B44">
      <w:pPr>
        <w:spacing w:after="120" w:line="240" w:lineRule="auto"/>
        <w:rPr>
          <w:rFonts w:ascii="Arial" w:hAnsi="Arial" w:cs="Arial"/>
        </w:rPr>
      </w:pPr>
      <w:r w:rsidRPr="00F37B44">
        <w:rPr>
          <w:rFonts w:ascii="Arial" w:hAnsi="Arial" w:cs="Arial"/>
          <w:b/>
          <w:bCs/>
        </w:rPr>
        <w:t>PURCHASERS: 2030 FUTURE STATE</w:t>
      </w:r>
    </w:p>
    <w:p w:rsidR="00F37B44" w:rsidRPr="00F37B44" w:rsidRDefault="00F37B44" w:rsidP="00F37B44">
      <w:pPr>
        <w:spacing w:after="120" w:line="240" w:lineRule="auto"/>
        <w:rPr>
          <w:rFonts w:ascii="Arial" w:hAnsi="Arial" w:cs="Arial"/>
        </w:rPr>
      </w:pPr>
      <w:r w:rsidRPr="00F37B44">
        <w:rPr>
          <w:rFonts w:ascii="Arial" w:hAnsi="Arial" w:cs="Arial"/>
          <w:b/>
          <w:bCs/>
        </w:rPr>
        <w:t>Purchaser Alignment is Transforming Health Care Delivery and Reducing Health Care Costs</w:t>
      </w:r>
    </w:p>
    <w:p w:rsidR="00F37B44" w:rsidRPr="00F37B44" w:rsidRDefault="00F37B44" w:rsidP="00F37B44">
      <w:pPr>
        <w:spacing w:after="120" w:line="240" w:lineRule="auto"/>
        <w:rPr>
          <w:rFonts w:ascii="Arial" w:hAnsi="Arial" w:cs="Arial"/>
        </w:rPr>
      </w:pPr>
      <w:r w:rsidRPr="00F37B44">
        <w:rPr>
          <w:rFonts w:ascii="Arial" w:hAnsi="Arial" w:cs="Arial"/>
        </w:rPr>
        <w:t>Public and private</w:t>
      </w:r>
      <w:r w:rsidRPr="00F37B44">
        <w:rPr>
          <w:rFonts w:ascii="Arial" w:hAnsi="Arial" w:cs="Arial"/>
          <w:b/>
          <w:bCs/>
        </w:rPr>
        <w:t xml:space="preserve"> </w:t>
      </w:r>
      <w:r w:rsidRPr="00F37B44">
        <w:rPr>
          <w:rFonts w:ascii="Arial" w:hAnsi="Arial" w:cs="Arial"/>
        </w:rPr>
        <w:t xml:space="preserve">purchasers have aligned on effective care delivery models, provider payment strategies, performance measures and health plan designs. Whether through individual or employer-sponsored coverage, consumers are choosing among a limited number of plans with identical benefit designs. Purchaser alignment enables aggressive negotiation with plans and health systems, further enhancing competition among insurers. Quality and cost transparency have fostered enhanced competition between plans. Health care costs are declining relative to economic growth. Information on effective health policies and delivery reforms are driving further improvements in population health, health care quality and costs. </w:t>
      </w:r>
    </w:p>
    <w:p w:rsidR="00F37B44" w:rsidRDefault="00F37B44">
      <w:pPr>
        <w:rPr>
          <w:rFonts w:ascii="Arial" w:hAnsi="Arial" w:cs="Arial"/>
        </w:rPr>
      </w:pPr>
      <w:r>
        <w:rPr>
          <w:rFonts w:ascii="Arial" w:hAnsi="Arial" w:cs="Arial"/>
        </w:rPr>
        <w:br w:type="page"/>
      </w:r>
    </w:p>
    <w:p w:rsidR="00F37B44" w:rsidRDefault="00F37B44" w:rsidP="00F37B44">
      <w:pPr>
        <w:spacing w:after="120" w:line="240" w:lineRule="auto"/>
        <w:rPr>
          <w:rFonts w:ascii="Arial" w:hAnsi="Arial" w:cs="Arial"/>
        </w:rPr>
      </w:pPr>
      <w:r w:rsidRPr="00F37B44">
        <w:rPr>
          <w:rFonts w:ascii="Arial" w:hAnsi="Arial" w:cs="Arial"/>
          <w:b/>
          <w:bCs/>
        </w:rPr>
        <w:lastRenderedPageBreak/>
        <w:t>COMMUNITIES: CURRENT STATE</w:t>
      </w:r>
    </w:p>
    <w:p w:rsidR="00000000" w:rsidRPr="00F37B44" w:rsidRDefault="00D03CED" w:rsidP="00F37B44">
      <w:pPr>
        <w:numPr>
          <w:ilvl w:val="0"/>
          <w:numId w:val="9"/>
        </w:numPr>
        <w:spacing w:after="120" w:line="240" w:lineRule="auto"/>
        <w:rPr>
          <w:rFonts w:ascii="Arial" w:hAnsi="Arial" w:cs="Arial"/>
        </w:rPr>
      </w:pPr>
      <w:r w:rsidRPr="00F37B44">
        <w:rPr>
          <w:rFonts w:ascii="Arial" w:hAnsi="Arial" w:cs="Arial"/>
        </w:rPr>
        <w:t>Pervasive disparities in health care, health, and well-being affect California’s population, influenced by numerous factors, including individual and community characteristics such a</w:t>
      </w:r>
      <w:r w:rsidRPr="00F37B44">
        <w:rPr>
          <w:rFonts w:ascii="Arial" w:hAnsi="Arial" w:cs="Arial"/>
        </w:rPr>
        <w:t xml:space="preserve">s geography, income level, culture, education level, social cohesion, civil participation and access to resources. </w:t>
      </w:r>
    </w:p>
    <w:p w:rsidR="00000000" w:rsidRPr="00F37B44" w:rsidRDefault="00D03CED" w:rsidP="00F37B44">
      <w:pPr>
        <w:numPr>
          <w:ilvl w:val="0"/>
          <w:numId w:val="9"/>
        </w:numPr>
        <w:spacing w:after="120" w:line="240" w:lineRule="auto"/>
        <w:rPr>
          <w:rFonts w:ascii="Arial" w:hAnsi="Arial" w:cs="Arial"/>
        </w:rPr>
      </w:pPr>
      <w:r w:rsidRPr="00F37B44">
        <w:rPr>
          <w:rFonts w:ascii="Arial" w:hAnsi="Arial" w:cs="Arial"/>
        </w:rPr>
        <w:t>Health care costs continue to increase, constraining individuals’ and comm</w:t>
      </w:r>
      <w:r w:rsidRPr="00F37B44">
        <w:rPr>
          <w:rFonts w:ascii="Arial" w:hAnsi="Arial" w:cs="Arial"/>
        </w:rPr>
        <w:t>unities’ capacity to invest in other goods and services that could improve health and well-being overall while reducing disparities.</w:t>
      </w:r>
    </w:p>
    <w:p w:rsidR="00000000" w:rsidRDefault="00D03CED" w:rsidP="00F37B44">
      <w:pPr>
        <w:numPr>
          <w:ilvl w:val="0"/>
          <w:numId w:val="9"/>
        </w:numPr>
        <w:spacing w:after="120" w:line="240" w:lineRule="auto"/>
        <w:rPr>
          <w:rFonts w:ascii="Arial" w:hAnsi="Arial" w:cs="Arial"/>
        </w:rPr>
      </w:pPr>
      <w:r w:rsidRPr="00F37B44">
        <w:rPr>
          <w:rFonts w:ascii="Arial" w:hAnsi="Arial" w:cs="Arial"/>
        </w:rPr>
        <w:t>Communities are resourceful and resilient, and many are m</w:t>
      </w:r>
      <w:r w:rsidRPr="00F37B44">
        <w:rPr>
          <w:rFonts w:ascii="Arial" w:hAnsi="Arial" w:cs="Arial"/>
        </w:rPr>
        <w:t xml:space="preserve">otivated to invest in long term solutions that promote health and well-being for residents. Community and non-profit organizations play a crucial role in the health and well-being of residents. </w:t>
      </w:r>
    </w:p>
    <w:p w:rsidR="00F37B44" w:rsidRDefault="00F37B44" w:rsidP="00F37B44">
      <w:pPr>
        <w:spacing w:after="120" w:line="240" w:lineRule="auto"/>
        <w:rPr>
          <w:rFonts w:ascii="Arial" w:hAnsi="Arial" w:cs="Arial"/>
          <w:b/>
          <w:bCs/>
        </w:rPr>
      </w:pPr>
    </w:p>
    <w:p w:rsidR="00F37B44" w:rsidRDefault="00F37B44" w:rsidP="00F37B44">
      <w:pPr>
        <w:spacing w:after="120" w:line="240" w:lineRule="auto"/>
        <w:rPr>
          <w:rFonts w:ascii="Arial" w:hAnsi="Arial" w:cs="Arial"/>
        </w:rPr>
      </w:pPr>
      <w:r w:rsidRPr="00F37B44">
        <w:rPr>
          <w:rFonts w:ascii="Arial" w:hAnsi="Arial" w:cs="Arial"/>
          <w:b/>
          <w:bCs/>
        </w:rPr>
        <w:t>COMMUNITIES: 2030 FUTURE STATE</w:t>
      </w:r>
    </w:p>
    <w:p w:rsidR="00F37B44" w:rsidRPr="00F37B44" w:rsidRDefault="00F37B44" w:rsidP="00F37B44">
      <w:pPr>
        <w:spacing w:after="120" w:line="240" w:lineRule="auto"/>
        <w:rPr>
          <w:rFonts w:ascii="Arial" w:hAnsi="Arial" w:cs="Arial"/>
        </w:rPr>
      </w:pPr>
      <w:r w:rsidRPr="00F37B44">
        <w:rPr>
          <w:rFonts w:ascii="Arial" w:hAnsi="Arial" w:cs="Arial"/>
          <w:b/>
          <w:bCs/>
        </w:rPr>
        <w:t xml:space="preserve">Communities Support and Improve the Health and Well-Being of All Residents </w:t>
      </w:r>
    </w:p>
    <w:p w:rsidR="00F37B44" w:rsidRPr="00F37B44" w:rsidRDefault="00F37B44" w:rsidP="00F37B44">
      <w:pPr>
        <w:spacing w:after="120" w:line="240" w:lineRule="auto"/>
        <w:rPr>
          <w:rFonts w:ascii="Arial" w:hAnsi="Arial" w:cs="Arial"/>
        </w:rPr>
      </w:pPr>
      <w:r w:rsidRPr="00F37B44">
        <w:rPr>
          <w:rFonts w:ascii="Arial" w:hAnsi="Arial" w:cs="Arial"/>
        </w:rPr>
        <w:t>Communities are designed, built and redesigned to promote optimal health for all individuals where they are born, live, learn, work, pray and age. Communities are supported through policies, systems and environmental changes that improve the health and well-being of community members and ensure equitable access to resources. Communities are empowered with the information, leadership and resources that are needed to ensure health equity across social, economic and behavioral determinants of health.</w:t>
      </w:r>
      <w:r w:rsidRPr="00F37B44">
        <w:rPr>
          <w:rFonts w:ascii="Arial" w:hAnsi="Arial" w:cs="Arial"/>
          <w:b/>
          <w:bCs/>
        </w:rPr>
        <w:t xml:space="preserve"> </w:t>
      </w:r>
      <w:r w:rsidRPr="00F37B44">
        <w:rPr>
          <w:rFonts w:ascii="Arial" w:hAnsi="Arial" w:cs="Arial"/>
        </w:rPr>
        <w:t xml:space="preserve">Access to health care and the quality of health care does not vary by community or individual based on geography, education level, income level and race or ethnicity. Health care is consuming a smaller fraction of income. Individuals of diverse backgrounds feel respected and valued.  </w:t>
      </w:r>
    </w:p>
    <w:p w:rsidR="00F37B44" w:rsidRPr="00F37B44" w:rsidRDefault="00F37B44" w:rsidP="00F37B44">
      <w:pPr>
        <w:spacing w:after="120" w:line="240" w:lineRule="auto"/>
        <w:rPr>
          <w:rFonts w:ascii="Arial" w:hAnsi="Arial" w:cs="Arial"/>
        </w:rPr>
      </w:pPr>
    </w:p>
    <w:p w:rsidR="00F37B44" w:rsidRPr="00F37B44" w:rsidRDefault="00F37B44" w:rsidP="00F37B44">
      <w:pPr>
        <w:spacing w:after="120" w:line="240" w:lineRule="auto"/>
        <w:rPr>
          <w:rFonts w:ascii="Arial" w:hAnsi="Arial" w:cs="Arial"/>
        </w:rPr>
      </w:pPr>
    </w:p>
    <w:p w:rsidR="00F37B44" w:rsidRPr="00F37B44" w:rsidRDefault="00F37B44" w:rsidP="00F37B44">
      <w:pPr>
        <w:spacing w:after="120" w:line="240" w:lineRule="auto"/>
        <w:rPr>
          <w:rFonts w:ascii="Arial" w:hAnsi="Arial" w:cs="Arial"/>
        </w:rPr>
      </w:pPr>
    </w:p>
    <w:p w:rsidR="00F37B44" w:rsidRPr="00570D0F" w:rsidRDefault="00F37B44" w:rsidP="00F37B44">
      <w:pPr>
        <w:spacing w:after="120" w:line="240" w:lineRule="auto"/>
        <w:rPr>
          <w:rFonts w:ascii="Arial" w:hAnsi="Arial" w:cs="Arial"/>
        </w:rPr>
      </w:pPr>
    </w:p>
    <w:p w:rsidR="00855A02" w:rsidRPr="00855A02" w:rsidRDefault="00855A02" w:rsidP="00570D0F">
      <w:pPr>
        <w:spacing w:after="120" w:line="240" w:lineRule="auto"/>
        <w:rPr>
          <w:rFonts w:ascii="Arial" w:hAnsi="Arial" w:cs="Arial"/>
        </w:rPr>
      </w:pPr>
    </w:p>
    <w:sectPr w:rsidR="00855A02" w:rsidRPr="00855A0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A02" w:rsidRDefault="00855A02" w:rsidP="00855A02">
      <w:pPr>
        <w:spacing w:after="0" w:line="240" w:lineRule="auto"/>
      </w:pPr>
      <w:r>
        <w:separator/>
      </w:r>
    </w:p>
  </w:endnote>
  <w:endnote w:type="continuationSeparator" w:id="0">
    <w:p w:rsidR="00855A02" w:rsidRDefault="00855A02" w:rsidP="00855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0858540"/>
      <w:docPartObj>
        <w:docPartGallery w:val="Page Numbers (Bottom of Page)"/>
        <w:docPartUnique/>
      </w:docPartObj>
    </w:sdtPr>
    <w:sdtEndPr>
      <w:rPr>
        <w:rFonts w:ascii="Arial" w:hAnsi="Arial" w:cs="Arial"/>
        <w:noProof/>
        <w:sz w:val="20"/>
      </w:rPr>
    </w:sdtEndPr>
    <w:sdtContent>
      <w:p w:rsidR="00855A02" w:rsidRPr="00855A02" w:rsidRDefault="00855A02">
        <w:pPr>
          <w:pStyle w:val="Footer"/>
          <w:jc w:val="right"/>
          <w:rPr>
            <w:rFonts w:ascii="Arial" w:hAnsi="Arial" w:cs="Arial"/>
            <w:sz w:val="20"/>
          </w:rPr>
        </w:pPr>
        <w:r w:rsidRPr="00855A02">
          <w:rPr>
            <w:rFonts w:ascii="Arial" w:hAnsi="Arial" w:cs="Arial"/>
            <w:sz w:val="20"/>
          </w:rPr>
          <w:fldChar w:fldCharType="begin"/>
        </w:r>
        <w:r w:rsidRPr="00855A02">
          <w:rPr>
            <w:rFonts w:ascii="Arial" w:hAnsi="Arial" w:cs="Arial"/>
            <w:sz w:val="20"/>
          </w:rPr>
          <w:instrText xml:space="preserve"> PAGE   \* MERGEFORMAT </w:instrText>
        </w:r>
        <w:r w:rsidRPr="00855A02">
          <w:rPr>
            <w:rFonts w:ascii="Arial" w:hAnsi="Arial" w:cs="Arial"/>
            <w:sz w:val="20"/>
          </w:rPr>
          <w:fldChar w:fldCharType="separate"/>
        </w:r>
        <w:r w:rsidRPr="00855A02">
          <w:rPr>
            <w:rFonts w:ascii="Arial" w:hAnsi="Arial" w:cs="Arial"/>
            <w:noProof/>
            <w:sz w:val="20"/>
          </w:rPr>
          <w:t>2</w:t>
        </w:r>
        <w:r w:rsidRPr="00855A02">
          <w:rPr>
            <w:rFonts w:ascii="Arial" w:hAnsi="Arial" w:cs="Arial"/>
            <w:noProof/>
            <w:sz w:val="20"/>
          </w:rPr>
          <w:fldChar w:fldCharType="end"/>
        </w:r>
      </w:p>
    </w:sdtContent>
  </w:sdt>
  <w:p w:rsidR="00855A02" w:rsidRDefault="00855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A02" w:rsidRDefault="00855A02" w:rsidP="00855A02">
      <w:pPr>
        <w:spacing w:after="0" w:line="240" w:lineRule="auto"/>
      </w:pPr>
      <w:r>
        <w:separator/>
      </w:r>
    </w:p>
  </w:footnote>
  <w:footnote w:type="continuationSeparator" w:id="0">
    <w:p w:rsidR="00855A02" w:rsidRDefault="00855A02" w:rsidP="00855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A02" w:rsidRPr="00855A02" w:rsidRDefault="00855A02" w:rsidP="00855A02">
    <w:pPr>
      <w:jc w:val="center"/>
      <w:rPr>
        <w:rFonts w:ascii="Arial" w:hAnsi="Arial" w:cs="Arial"/>
        <w:b/>
        <w:bCs/>
      </w:rPr>
    </w:pPr>
    <w:r w:rsidRPr="00855A02">
      <w:rPr>
        <w:rFonts w:ascii="Arial" w:hAnsi="Arial" w:cs="Arial"/>
        <w:b/>
        <w:bCs/>
      </w:rPr>
      <w:t>Envisioning the Future of Health and Healthcare</w:t>
    </w:r>
    <w:r w:rsidRPr="00855A02">
      <w:rPr>
        <w:rFonts w:ascii="Arial" w:hAnsi="Arial" w:cs="Arial"/>
        <w:b/>
        <w:bCs/>
      </w:rPr>
      <w:br/>
      <w:t xml:space="preserve">2030 Vision Statements to Inform Covered California’s Model Contract and </w:t>
    </w:r>
    <w:r w:rsidRPr="00855A02">
      <w:rPr>
        <w:rFonts w:ascii="Arial" w:hAnsi="Arial" w:cs="Arial"/>
        <w:b/>
        <w:bCs/>
      </w:rPr>
      <w:br/>
      <w:t xml:space="preserve">Attachment 7 2022 Amendment and </w:t>
    </w:r>
    <w:r w:rsidRPr="00855A02">
      <w:rPr>
        <w:rFonts w:ascii="Arial" w:hAnsi="Arial" w:cs="Arial"/>
        <w:b/>
        <w:bCs/>
      </w:rPr>
      <w:br/>
      <w:t>2023-2025 Refresh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75B5"/>
    <w:multiLevelType w:val="hybridMultilevel"/>
    <w:tmpl w:val="0A6898E2"/>
    <w:lvl w:ilvl="0" w:tplc="A516D1D8">
      <w:start w:val="1"/>
      <w:numFmt w:val="bullet"/>
      <w:lvlText w:val="□"/>
      <w:lvlJc w:val="left"/>
      <w:pPr>
        <w:tabs>
          <w:tab w:val="num" w:pos="360"/>
        </w:tabs>
        <w:ind w:left="360" w:hanging="360"/>
      </w:pPr>
      <w:rPr>
        <w:rFonts w:ascii="Arial" w:hAnsi="Arial" w:hint="default"/>
      </w:rPr>
    </w:lvl>
    <w:lvl w:ilvl="1" w:tplc="CB088EBC">
      <w:start w:val="1"/>
      <w:numFmt w:val="bullet"/>
      <w:lvlText w:val="□"/>
      <w:lvlJc w:val="left"/>
      <w:pPr>
        <w:tabs>
          <w:tab w:val="num" w:pos="1080"/>
        </w:tabs>
        <w:ind w:left="1080" w:hanging="360"/>
      </w:pPr>
      <w:rPr>
        <w:rFonts w:ascii="Arial" w:hAnsi="Arial" w:hint="default"/>
      </w:rPr>
    </w:lvl>
    <w:lvl w:ilvl="2" w:tplc="29BA18A6" w:tentative="1">
      <w:start w:val="1"/>
      <w:numFmt w:val="bullet"/>
      <w:lvlText w:val="□"/>
      <w:lvlJc w:val="left"/>
      <w:pPr>
        <w:tabs>
          <w:tab w:val="num" w:pos="1800"/>
        </w:tabs>
        <w:ind w:left="1800" w:hanging="360"/>
      </w:pPr>
      <w:rPr>
        <w:rFonts w:ascii="Arial" w:hAnsi="Arial" w:hint="default"/>
      </w:rPr>
    </w:lvl>
    <w:lvl w:ilvl="3" w:tplc="FEA82670" w:tentative="1">
      <w:start w:val="1"/>
      <w:numFmt w:val="bullet"/>
      <w:lvlText w:val="□"/>
      <w:lvlJc w:val="left"/>
      <w:pPr>
        <w:tabs>
          <w:tab w:val="num" w:pos="2520"/>
        </w:tabs>
        <w:ind w:left="2520" w:hanging="360"/>
      </w:pPr>
      <w:rPr>
        <w:rFonts w:ascii="Arial" w:hAnsi="Arial" w:hint="default"/>
      </w:rPr>
    </w:lvl>
    <w:lvl w:ilvl="4" w:tplc="ED28A58E" w:tentative="1">
      <w:start w:val="1"/>
      <w:numFmt w:val="bullet"/>
      <w:lvlText w:val="□"/>
      <w:lvlJc w:val="left"/>
      <w:pPr>
        <w:tabs>
          <w:tab w:val="num" w:pos="3240"/>
        </w:tabs>
        <w:ind w:left="3240" w:hanging="360"/>
      </w:pPr>
      <w:rPr>
        <w:rFonts w:ascii="Arial" w:hAnsi="Arial" w:hint="default"/>
      </w:rPr>
    </w:lvl>
    <w:lvl w:ilvl="5" w:tplc="AED83956" w:tentative="1">
      <w:start w:val="1"/>
      <w:numFmt w:val="bullet"/>
      <w:lvlText w:val="□"/>
      <w:lvlJc w:val="left"/>
      <w:pPr>
        <w:tabs>
          <w:tab w:val="num" w:pos="3960"/>
        </w:tabs>
        <w:ind w:left="3960" w:hanging="360"/>
      </w:pPr>
      <w:rPr>
        <w:rFonts w:ascii="Arial" w:hAnsi="Arial" w:hint="default"/>
      </w:rPr>
    </w:lvl>
    <w:lvl w:ilvl="6" w:tplc="07B283B6" w:tentative="1">
      <w:start w:val="1"/>
      <w:numFmt w:val="bullet"/>
      <w:lvlText w:val="□"/>
      <w:lvlJc w:val="left"/>
      <w:pPr>
        <w:tabs>
          <w:tab w:val="num" w:pos="4680"/>
        </w:tabs>
        <w:ind w:left="4680" w:hanging="360"/>
      </w:pPr>
      <w:rPr>
        <w:rFonts w:ascii="Arial" w:hAnsi="Arial" w:hint="default"/>
      </w:rPr>
    </w:lvl>
    <w:lvl w:ilvl="7" w:tplc="5378900E" w:tentative="1">
      <w:start w:val="1"/>
      <w:numFmt w:val="bullet"/>
      <w:lvlText w:val="□"/>
      <w:lvlJc w:val="left"/>
      <w:pPr>
        <w:tabs>
          <w:tab w:val="num" w:pos="5400"/>
        </w:tabs>
        <w:ind w:left="5400" w:hanging="360"/>
      </w:pPr>
      <w:rPr>
        <w:rFonts w:ascii="Arial" w:hAnsi="Arial" w:hint="default"/>
      </w:rPr>
    </w:lvl>
    <w:lvl w:ilvl="8" w:tplc="DB2CCF0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17473CC5"/>
    <w:multiLevelType w:val="hybridMultilevel"/>
    <w:tmpl w:val="17706A3C"/>
    <w:lvl w:ilvl="0" w:tplc="0BAE623E">
      <w:start w:val="1"/>
      <w:numFmt w:val="decimal"/>
      <w:lvlText w:val="%1."/>
      <w:lvlJc w:val="left"/>
      <w:pPr>
        <w:tabs>
          <w:tab w:val="num" w:pos="720"/>
        </w:tabs>
        <w:ind w:left="720" w:hanging="360"/>
      </w:pPr>
    </w:lvl>
    <w:lvl w:ilvl="1" w:tplc="48BA6D68" w:tentative="1">
      <w:start w:val="1"/>
      <w:numFmt w:val="decimal"/>
      <w:lvlText w:val="%2."/>
      <w:lvlJc w:val="left"/>
      <w:pPr>
        <w:tabs>
          <w:tab w:val="num" w:pos="1440"/>
        </w:tabs>
        <w:ind w:left="1440" w:hanging="360"/>
      </w:pPr>
    </w:lvl>
    <w:lvl w:ilvl="2" w:tplc="C038AEF6" w:tentative="1">
      <w:start w:val="1"/>
      <w:numFmt w:val="decimal"/>
      <w:lvlText w:val="%3."/>
      <w:lvlJc w:val="left"/>
      <w:pPr>
        <w:tabs>
          <w:tab w:val="num" w:pos="2160"/>
        </w:tabs>
        <w:ind w:left="2160" w:hanging="360"/>
      </w:pPr>
    </w:lvl>
    <w:lvl w:ilvl="3" w:tplc="C43CC0CA" w:tentative="1">
      <w:start w:val="1"/>
      <w:numFmt w:val="decimal"/>
      <w:lvlText w:val="%4."/>
      <w:lvlJc w:val="left"/>
      <w:pPr>
        <w:tabs>
          <w:tab w:val="num" w:pos="2880"/>
        </w:tabs>
        <w:ind w:left="2880" w:hanging="360"/>
      </w:pPr>
    </w:lvl>
    <w:lvl w:ilvl="4" w:tplc="B4221DC8" w:tentative="1">
      <w:start w:val="1"/>
      <w:numFmt w:val="decimal"/>
      <w:lvlText w:val="%5."/>
      <w:lvlJc w:val="left"/>
      <w:pPr>
        <w:tabs>
          <w:tab w:val="num" w:pos="3600"/>
        </w:tabs>
        <w:ind w:left="3600" w:hanging="360"/>
      </w:pPr>
    </w:lvl>
    <w:lvl w:ilvl="5" w:tplc="E9D40A96" w:tentative="1">
      <w:start w:val="1"/>
      <w:numFmt w:val="decimal"/>
      <w:lvlText w:val="%6."/>
      <w:lvlJc w:val="left"/>
      <w:pPr>
        <w:tabs>
          <w:tab w:val="num" w:pos="4320"/>
        </w:tabs>
        <w:ind w:left="4320" w:hanging="360"/>
      </w:pPr>
    </w:lvl>
    <w:lvl w:ilvl="6" w:tplc="577CB3E8" w:tentative="1">
      <w:start w:val="1"/>
      <w:numFmt w:val="decimal"/>
      <w:lvlText w:val="%7."/>
      <w:lvlJc w:val="left"/>
      <w:pPr>
        <w:tabs>
          <w:tab w:val="num" w:pos="5040"/>
        </w:tabs>
        <w:ind w:left="5040" w:hanging="360"/>
      </w:pPr>
    </w:lvl>
    <w:lvl w:ilvl="7" w:tplc="45B45CD8" w:tentative="1">
      <w:start w:val="1"/>
      <w:numFmt w:val="decimal"/>
      <w:lvlText w:val="%8."/>
      <w:lvlJc w:val="left"/>
      <w:pPr>
        <w:tabs>
          <w:tab w:val="num" w:pos="5760"/>
        </w:tabs>
        <w:ind w:left="5760" w:hanging="360"/>
      </w:pPr>
    </w:lvl>
    <w:lvl w:ilvl="8" w:tplc="1EF4B994" w:tentative="1">
      <w:start w:val="1"/>
      <w:numFmt w:val="decimal"/>
      <w:lvlText w:val="%9."/>
      <w:lvlJc w:val="left"/>
      <w:pPr>
        <w:tabs>
          <w:tab w:val="num" w:pos="6480"/>
        </w:tabs>
        <w:ind w:left="6480" w:hanging="360"/>
      </w:pPr>
    </w:lvl>
  </w:abstractNum>
  <w:abstractNum w:abstractNumId="2" w15:restartNumberingAfterBreak="0">
    <w:nsid w:val="1FFC412A"/>
    <w:multiLevelType w:val="hybridMultilevel"/>
    <w:tmpl w:val="53207EEC"/>
    <w:lvl w:ilvl="0" w:tplc="89E828E0">
      <w:start w:val="1"/>
      <w:numFmt w:val="bullet"/>
      <w:lvlText w:val="□"/>
      <w:lvlJc w:val="left"/>
      <w:pPr>
        <w:tabs>
          <w:tab w:val="num" w:pos="360"/>
        </w:tabs>
        <w:ind w:left="360" w:hanging="360"/>
      </w:pPr>
      <w:rPr>
        <w:rFonts w:ascii="Arial" w:hAnsi="Arial" w:hint="default"/>
      </w:rPr>
    </w:lvl>
    <w:lvl w:ilvl="1" w:tplc="7ADCCE6E">
      <w:start w:val="1"/>
      <w:numFmt w:val="bullet"/>
      <w:lvlText w:val="□"/>
      <w:lvlJc w:val="left"/>
      <w:pPr>
        <w:tabs>
          <w:tab w:val="num" w:pos="1080"/>
        </w:tabs>
        <w:ind w:left="1080" w:hanging="360"/>
      </w:pPr>
      <w:rPr>
        <w:rFonts w:ascii="Arial" w:hAnsi="Arial" w:hint="default"/>
      </w:rPr>
    </w:lvl>
    <w:lvl w:ilvl="2" w:tplc="FCD29266" w:tentative="1">
      <w:start w:val="1"/>
      <w:numFmt w:val="bullet"/>
      <w:lvlText w:val="□"/>
      <w:lvlJc w:val="left"/>
      <w:pPr>
        <w:tabs>
          <w:tab w:val="num" w:pos="1800"/>
        </w:tabs>
        <w:ind w:left="1800" w:hanging="360"/>
      </w:pPr>
      <w:rPr>
        <w:rFonts w:ascii="Arial" w:hAnsi="Arial" w:hint="default"/>
      </w:rPr>
    </w:lvl>
    <w:lvl w:ilvl="3" w:tplc="FCD6543C" w:tentative="1">
      <w:start w:val="1"/>
      <w:numFmt w:val="bullet"/>
      <w:lvlText w:val="□"/>
      <w:lvlJc w:val="left"/>
      <w:pPr>
        <w:tabs>
          <w:tab w:val="num" w:pos="2520"/>
        </w:tabs>
        <w:ind w:left="2520" w:hanging="360"/>
      </w:pPr>
      <w:rPr>
        <w:rFonts w:ascii="Arial" w:hAnsi="Arial" w:hint="default"/>
      </w:rPr>
    </w:lvl>
    <w:lvl w:ilvl="4" w:tplc="D780CDE2" w:tentative="1">
      <w:start w:val="1"/>
      <w:numFmt w:val="bullet"/>
      <w:lvlText w:val="□"/>
      <w:lvlJc w:val="left"/>
      <w:pPr>
        <w:tabs>
          <w:tab w:val="num" w:pos="3240"/>
        </w:tabs>
        <w:ind w:left="3240" w:hanging="360"/>
      </w:pPr>
      <w:rPr>
        <w:rFonts w:ascii="Arial" w:hAnsi="Arial" w:hint="default"/>
      </w:rPr>
    </w:lvl>
    <w:lvl w:ilvl="5" w:tplc="E9505A10" w:tentative="1">
      <w:start w:val="1"/>
      <w:numFmt w:val="bullet"/>
      <w:lvlText w:val="□"/>
      <w:lvlJc w:val="left"/>
      <w:pPr>
        <w:tabs>
          <w:tab w:val="num" w:pos="3960"/>
        </w:tabs>
        <w:ind w:left="3960" w:hanging="360"/>
      </w:pPr>
      <w:rPr>
        <w:rFonts w:ascii="Arial" w:hAnsi="Arial" w:hint="default"/>
      </w:rPr>
    </w:lvl>
    <w:lvl w:ilvl="6" w:tplc="8410FB04" w:tentative="1">
      <w:start w:val="1"/>
      <w:numFmt w:val="bullet"/>
      <w:lvlText w:val="□"/>
      <w:lvlJc w:val="left"/>
      <w:pPr>
        <w:tabs>
          <w:tab w:val="num" w:pos="4680"/>
        </w:tabs>
        <w:ind w:left="4680" w:hanging="360"/>
      </w:pPr>
      <w:rPr>
        <w:rFonts w:ascii="Arial" w:hAnsi="Arial" w:hint="default"/>
      </w:rPr>
    </w:lvl>
    <w:lvl w:ilvl="7" w:tplc="64941986" w:tentative="1">
      <w:start w:val="1"/>
      <w:numFmt w:val="bullet"/>
      <w:lvlText w:val="□"/>
      <w:lvlJc w:val="left"/>
      <w:pPr>
        <w:tabs>
          <w:tab w:val="num" w:pos="5400"/>
        </w:tabs>
        <w:ind w:left="5400" w:hanging="360"/>
      </w:pPr>
      <w:rPr>
        <w:rFonts w:ascii="Arial" w:hAnsi="Arial" w:hint="default"/>
      </w:rPr>
    </w:lvl>
    <w:lvl w:ilvl="8" w:tplc="7DF6DBC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34584F15"/>
    <w:multiLevelType w:val="hybridMultilevel"/>
    <w:tmpl w:val="59429210"/>
    <w:lvl w:ilvl="0" w:tplc="F5B2784A">
      <w:start w:val="1"/>
      <w:numFmt w:val="decimal"/>
      <w:lvlText w:val="%1."/>
      <w:lvlJc w:val="left"/>
      <w:pPr>
        <w:tabs>
          <w:tab w:val="num" w:pos="720"/>
        </w:tabs>
        <w:ind w:left="720" w:hanging="360"/>
      </w:pPr>
    </w:lvl>
    <w:lvl w:ilvl="1" w:tplc="176E300C" w:tentative="1">
      <w:start w:val="1"/>
      <w:numFmt w:val="decimal"/>
      <w:lvlText w:val="%2."/>
      <w:lvlJc w:val="left"/>
      <w:pPr>
        <w:tabs>
          <w:tab w:val="num" w:pos="1440"/>
        </w:tabs>
        <w:ind w:left="1440" w:hanging="360"/>
      </w:pPr>
    </w:lvl>
    <w:lvl w:ilvl="2" w:tplc="C4DA7EF6" w:tentative="1">
      <w:start w:val="1"/>
      <w:numFmt w:val="decimal"/>
      <w:lvlText w:val="%3."/>
      <w:lvlJc w:val="left"/>
      <w:pPr>
        <w:tabs>
          <w:tab w:val="num" w:pos="2160"/>
        </w:tabs>
        <w:ind w:left="2160" w:hanging="360"/>
      </w:pPr>
    </w:lvl>
    <w:lvl w:ilvl="3" w:tplc="0A82908C" w:tentative="1">
      <w:start w:val="1"/>
      <w:numFmt w:val="decimal"/>
      <w:lvlText w:val="%4."/>
      <w:lvlJc w:val="left"/>
      <w:pPr>
        <w:tabs>
          <w:tab w:val="num" w:pos="2880"/>
        </w:tabs>
        <w:ind w:left="2880" w:hanging="360"/>
      </w:pPr>
    </w:lvl>
    <w:lvl w:ilvl="4" w:tplc="B3D23760" w:tentative="1">
      <w:start w:val="1"/>
      <w:numFmt w:val="decimal"/>
      <w:lvlText w:val="%5."/>
      <w:lvlJc w:val="left"/>
      <w:pPr>
        <w:tabs>
          <w:tab w:val="num" w:pos="3600"/>
        </w:tabs>
        <w:ind w:left="3600" w:hanging="360"/>
      </w:pPr>
    </w:lvl>
    <w:lvl w:ilvl="5" w:tplc="CA62A038" w:tentative="1">
      <w:start w:val="1"/>
      <w:numFmt w:val="decimal"/>
      <w:lvlText w:val="%6."/>
      <w:lvlJc w:val="left"/>
      <w:pPr>
        <w:tabs>
          <w:tab w:val="num" w:pos="4320"/>
        </w:tabs>
        <w:ind w:left="4320" w:hanging="360"/>
      </w:pPr>
    </w:lvl>
    <w:lvl w:ilvl="6" w:tplc="F710BE44" w:tentative="1">
      <w:start w:val="1"/>
      <w:numFmt w:val="decimal"/>
      <w:lvlText w:val="%7."/>
      <w:lvlJc w:val="left"/>
      <w:pPr>
        <w:tabs>
          <w:tab w:val="num" w:pos="5040"/>
        </w:tabs>
        <w:ind w:left="5040" w:hanging="360"/>
      </w:pPr>
    </w:lvl>
    <w:lvl w:ilvl="7" w:tplc="BC9AE2D0" w:tentative="1">
      <w:start w:val="1"/>
      <w:numFmt w:val="decimal"/>
      <w:lvlText w:val="%8."/>
      <w:lvlJc w:val="left"/>
      <w:pPr>
        <w:tabs>
          <w:tab w:val="num" w:pos="5760"/>
        </w:tabs>
        <w:ind w:left="5760" w:hanging="360"/>
      </w:pPr>
    </w:lvl>
    <w:lvl w:ilvl="8" w:tplc="CDBAEF76" w:tentative="1">
      <w:start w:val="1"/>
      <w:numFmt w:val="decimal"/>
      <w:lvlText w:val="%9."/>
      <w:lvlJc w:val="left"/>
      <w:pPr>
        <w:tabs>
          <w:tab w:val="num" w:pos="6480"/>
        </w:tabs>
        <w:ind w:left="6480" w:hanging="360"/>
      </w:pPr>
    </w:lvl>
  </w:abstractNum>
  <w:abstractNum w:abstractNumId="4" w15:restartNumberingAfterBreak="0">
    <w:nsid w:val="38461A57"/>
    <w:multiLevelType w:val="hybridMultilevel"/>
    <w:tmpl w:val="72E8B382"/>
    <w:lvl w:ilvl="0" w:tplc="083C3D40">
      <w:start w:val="1"/>
      <w:numFmt w:val="bullet"/>
      <w:lvlText w:val="□"/>
      <w:lvlJc w:val="left"/>
      <w:pPr>
        <w:tabs>
          <w:tab w:val="num" w:pos="360"/>
        </w:tabs>
        <w:ind w:left="360" w:hanging="360"/>
      </w:pPr>
      <w:rPr>
        <w:rFonts w:ascii="Arial" w:hAnsi="Arial" w:hint="default"/>
      </w:rPr>
    </w:lvl>
    <w:lvl w:ilvl="1" w:tplc="1D48BFF4">
      <w:start w:val="1"/>
      <w:numFmt w:val="bullet"/>
      <w:lvlText w:val="□"/>
      <w:lvlJc w:val="left"/>
      <w:pPr>
        <w:tabs>
          <w:tab w:val="num" w:pos="1080"/>
        </w:tabs>
        <w:ind w:left="1080" w:hanging="360"/>
      </w:pPr>
      <w:rPr>
        <w:rFonts w:ascii="Arial" w:hAnsi="Arial" w:hint="default"/>
      </w:rPr>
    </w:lvl>
    <w:lvl w:ilvl="2" w:tplc="A63A8B08" w:tentative="1">
      <w:start w:val="1"/>
      <w:numFmt w:val="bullet"/>
      <w:lvlText w:val="□"/>
      <w:lvlJc w:val="left"/>
      <w:pPr>
        <w:tabs>
          <w:tab w:val="num" w:pos="1800"/>
        </w:tabs>
        <w:ind w:left="1800" w:hanging="360"/>
      </w:pPr>
      <w:rPr>
        <w:rFonts w:ascii="Arial" w:hAnsi="Arial" w:hint="default"/>
      </w:rPr>
    </w:lvl>
    <w:lvl w:ilvl="3" w:tplc="4B8211C6" w:tentative="1">
      <w:start w:val="1"/>
      <w:numFmt w:val="bullet"/>
      <w:lvlText w:val="□"/>
      <w:lvlJc w:val="left"/>
      <w:pPr>
        <w:tabs>
          <w:tab w:val="num" w:pos="2520"/>
        </w:tabs>
        <w:ind w:left="2520" w:hanging="360"/>
      </w:pPr>
      <w:rPr>
        <w:rFonts w:ascii="Arial" w:hAnsi="Arial" w:hint="default"/>
      </w:rPr>
    </w:lvl>
    <w:lvl w:ilvl="4" w:tplc="589CB2F4" w:tentative="1">
      <w:start w:val="1"/>
      <w:numFmt w:val="bullet"/>
      <w:lvlText w:val="□"/>
      <w:lvlJc w:val="left"/>
      <w:pPr>
        <w:tabs>
          <w:tab w:val="num" w:pos="3240"/>
        </w:tabs>
        <w:ind w:left="3240" w:hanging="360"/>
      </w:pPr>
      <w:rPr>
        <w:rFonts w:ascii="Arial" w:hAnsi="Arial" w:hint="default"/>
      </w:rPr>
    </w:lvl>
    <w:lvl w:ilvl="5" w:tplc="E3D033F4" w:tentative="1">
      <w:start w:val="1"/>
      <w:numFmt w:val="bullet"/>
      <w:lvlText w:val="□"/>
      <w:lvlJc w:val="left"/>
      <w:pPr>
        <w:tabs>
          <w:tab w:val="num" w:pos="3960"/>
        </w:tabs>
        <w:ind w:left="3960" w:hanging="360"/>
      </w:pPr>
      <w:rPr>
        <w:rFonts w:ascii="Arial" w:hAnsi="Arial" w:hint="default"/>
      </w:rPr>
    </w:lvl>
    <w:lvl w:ilvl="6" w:tplc="60DC5532" w:tentative="1">
      <w:start w:val="1"/>
      <w:numFmt w:val="bullet"/>
      <w:lvlText w:val="□"/>
      <w:lvlJc w:val="left"/>
      <w:pPr>
        <w:tabs>
          <w:tab w:val="num" w:pos="4680"/>
        </w:tabs>
        <w:ind w:left="4680" w:hanging="360"/>
      </w:pPr>
      <w:rPr>
        <w:rFonts w:ascii="Arial" w:hAnsi="Arial" w:hint="default"/>
      </w:rPr>
    </w:lvl>
    <w:lvl w:ilvl="7" w:tplc="E2125E24" w:tentative="1">
      <w:start w:val="1"/>
      <w:numFmt w:val="bullet"/>
      <w:lvlText w:val="□"/>
      <w:lvlJc w:val="left"/>
      <w:pPr>
        <w:tabs>
          <w:tab w:val="num" w:pos="5400"/>
        </w:tabs>
        <w:ind w:left="5400" w:hanging="360"/>
      </w:pPr>
      <w:rPr>
        <w:rFonts w:ascii="Arial" w:hAnsi="Arial" w:hint="default"/>
      </w:rPr>
    </w:lvl>
    <w:lvl w:ilvl="8" w:tplc="EAF2FDBE"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5F806D3F"/>
    <w:multiLevelType w:val="hybridMultilevel"/>
    <w:tmpl w:val="D368EACC"/>
    <w:lvl w:ilvl="0" w:tplc="29A61B26">
      <w:start w:val="1"/>
      <w:numFmt w:val="bullet"/>
      <w:lvlText w:val="□"/>
      <w:lvlJc w:val="left"/>
      <w:pPr>
        <w:tabs>
          <w:tab w:val="num" w:pos="360"/>
        </w:tabs>
        <w:ind w:left="360" w:hanging="360"/>
      </w:pPr>
      <w:rPr>
        <w:rFonts w:ascii="Arial" w:hAnsi="Arial" w:hint="default"/>
      </w:rPr>
    </w:lvl>
    <w:lvl w:ilvl="1" w:tplc="04C660F0">
      <w:start w:val="1"/>
      <w:numFmt w:val="bullet"/>
      <w:lvlText w:val="□"/>
      <w:lvlJc w:val="left"/>
      <w:pPr>
        <w:tabs>
          <w:tab w:val="num" w:pos="1080"/>
        </w:tabs>
        <w:ind w:left="1080" w:hanging="360"/>
      </w:pPr>
      <w:rPr>
        <w:rFonts w:ascii="Arial" w:hAnsi="Arial" w:hint="default"/>
      </w:rPr>
    </w:lvl>
    <w:lvl w:ilvl="2" w:tplc="59C8DC2E" w:tentative="1">
      <w:start w:val="1"/>
      <w:numFmt w:val="bullet"/>
      <w:lvlText w:val="□"/>
      <w:lvlJc w:val="left"/>
      <w:pPr>
        <w:tabs>
          <w:tab w:val="num" w:pos="1800"/>
        </w:tabs>
        <w:ind w:left="1800" w:hanging="360"/>
      </w:pPr>
      <w:rPr>
        <w:rFonts w:ascii="Arial" w:hAnsi="Arial" w:hint="default"/>
      </w:rPr>
    </w:lvl>
    <w:lvl w:ilvl="3" w:tplc="4970A452" w:tentative="1">
      <w:start w:val="1"/>
      <w:numFmt w:val="bullet"/>
      <w:lvlText w:val="□"/>
      <w:lvlJc w:val="left"/>
      <w:pPr>
        <w:tabs>
          <w:tab w:val="num" w:pos="2520"/>
        </w:tabs>
        <w:ind w:left="2520" w:hanging="360"/>
      </w:pPr>
      <w:rPr>
        <w:rFonts w:ascii="Arial" w:hAnsi="Arial" w:hint="default"/>
      </w:rPr>
    </w:lvl>
    <w:lvl w:ilvl="4" w:tplc="54942A16" w:tentative="1">
      <w:start w:val="1"/>
      <w:numFmt w:val="bullet"/>
      <w:lvlText w:val="□"/>
      <w:lvlJc w:val="left"/>
      <w:pPr>
        <w:tabs>
          <w:tab w:val="num" w:pos="3240"/>
        </w:tabs>
        <w:ind w:left="3240" w:hanging="360"/>
      </w:pPr>
      <w:rPr>
        <w:rFonts w:ascii="Arial" w:hAnsi="Arial" w:hint="default"/>
      </w:rPr>
    </w:lvl>
    <w:lvl w:ilvl="5" w:tplc="D7CE86DC" w:tentative="1">
      <w:start w:val="1"/>
      <w:numFmt w:val="bullet"/>
      <w:lvlText w:val="□"/>
      <w:lvlJc w:val="left"/>
      <w:pPr>
        <w:tabs>
          <w:tab w:val="num" w:pos="3960"/>
        </w:tabs>
        <w:ind w:left="3960" w:hanging="360"/>
      </w:pPr>
      <w:rPr>
        <w:rFonts w:ascii="Arial" w:hAnsi="Arial" w:hint="default"/>
      </w:rPr>
    </w:lvl>
    <w:lvl w:ilvl="6" w:tplc="30209BB6" w:tentative="1">
      <w:start w:val="1"/>
      <w:numFmt w:val="bullet"/>
      <w:lvlText w:val="□"/>
      <w:lvlJc w:val="left"/>
      <w:pPr>
        <w:tabs>
          <w:tab w:val="num" w:pos="4680"/>
        </w:tabs>
        <w:ind w:left="4680" w:hanging="360"/>
      </w:pPr>
      <w:rPr>
        <w:rFonts w:ascii="Arial" w:hAnsi="Arial" w:hint="default"/>
      </w:rPr>
    </w:lvl>
    <w:lvl w:ilvl="7" w:tplc="1DFA660C" w:tentative="1">
      <w:start w:val="1"/>
      <w:numFmt w:val="bullet"/>
      <w:lvlText w:val="□"/>
      <w:lvlJc w:val="left"/>
      <w:pPr>
        <w:tabs>
          <w:tab w:val="num" w:pos="5400"/>
        </w:tabs>
        <w:ind w:left="5400" w:hanging="360"/>
      </w:pPr>
      <w:rPr>
        <w:rFonts w:ascii="Arial" w:hAnsi="Arial" w:hint="default"/>
      </w:rPr>
    </w:lvl>
    <w:lvl w:ilvl="8" w:tplc="3B906A4A"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5FB03D44"/>
    <w:multiLevelType w:val="hybridMultilevel"/>
    <w:tmpl w:val="3AE0307E"/>
    <w:lvl w:ilvl="0" w:tplc="C4687BCC">
      <w:start w:val="1"/>
      <w:numFmt w:val="bullet"/>
      <w:lvlText w:val="□"/>
      <w:lvlJc w:val="left"/>
      <w:pPr>
        <w:tabs>
          <w:tab w:val="num" w:pos="720"/>
        </w:tabs>
        <w:ind w:left="720" w:hanging="360"/>
      </w:pPr>
      <w:rPr>
        <w:rFonts w:ascii="Arial" w:hAnsi="Arial" w:hint="default"/>
      </w:rPr>
    </w:lvl>
    <w:lvl w:ilvl="1" w:tplc="BF360F30">
      <w:start w:val="1"/>
      <w:numFmt w:val="bullet"/>
      <w:lvlText w:val="□"/>
      <w:lvlJc w:val="left"/>
      <w:pPr>
        <w:tabs>
          <w:tab w:val="num" w:pos="1440"/>
        </w:tabs>
        <w:ind w:left="1440" w:hanging="360"/>
      </w:pPr>
      <w:rPr>
        <w:rFonts w:ascii="Arial" w:hAnsi="Arial" w:hint="default"/>
      </w:rPr>
    </w:lvl>
    <w:lvl w:ilvl="2" w:tplc="07CA486C" w:tentative="1">
      <w:start w:val="1"/>
      <w:numFmt w:val="bullet"/>
      <w:lvlText w:val="□"/>
      <w:lvlJc w:val="left"/>
      <w:pPr>
        <w:tabs>
          <w:tab w:val="num" w:pos="2160"/>
        </w:tabs>
        <w:ind w:left="2160" w:hanging="360"/>
      </w:pPr>
      <w:rPr>
        <w:rFonts w:ascii="Arial" w:hAnsi="Arial" w:hint="default"/>
      </w:rPr>
    </w:lvl>
    <w:lvl w:ilvl="3" w:tplc="C9E87A1C" w:tentative="1">
      <w:start w:val="1"/>
      <w:numFmt w:val="bullet"/>
      <w:lvlText w:val="□"/>
      <w:lvlJc w:val="left"/>
      <w:pPr>
        <w:tabs>
          <w:tab w:val="num" w:pos="2880"/>
        </w:tabs>
        <w:ind w:left="2880" w:hanging="360"/>
      </w:pPr>
      <w:rPr>
        <w:rFonts w:ascii="Arial" w:hAnsi="Arial" w:hint="default"/>
      </w:rPr>
    </w:lvl>
    <w:lvl w:ilvl="4" w:tplc="E72C27BC">
      <w:numFmt w:val="bullet"/>
      <w:lvlText w:val=""/>
      <w:lvlJc w:val="left"/>
      <w:pPr>
        <w:tabs>
          <w:tab w:val="num" w:pos="3600"/>
        </w:tabs>
        <w:ind w:left="3600" w:hanging="360"/>
      </w:pPr>
      <w:rPr>
        <w:rFonts w:ascii="Wingdings" w:hAnsi="Wingdings" w:hint="default"/>
      </w:rPr>
    </w:lvl>
    <w:lvl w:ilvl="5" w:tplc="D68E843C" w:tentative="1">
      <w:start w:val="1"/>
      <w:numFmt w:val="bullet"/>
      <w:lvlText w:val="□"/>
      <w:lvlJc w:val="left"/>
      <w:pPr>
        <w:tabs>
          <w:tab w:val="num" w:pos="4320"/>
        </w:tabs>
        <w:ind w:left="4320" w:hanging="360"/>
      </w:pPr>
      <w:rPr>
        <w:rFonts w:ascii="Arial" w:hAnsi="Arial" w:hint="default"/>
      </w:rPr>
    </w:lvl>
    <w:lvl w:ilvl="6" w:tplc="9BCA06F6" w:tentative="1">
      <w:start w:val="1"/>
      <w:numFmt w:val="bullet"/>
      <w:lvlText w:val="□"/>
      <w:lvlJc w:val="left"/>
      <w:pPr>
        <w:tabs>
          <w:tab w:val="num" w:pos="5040"/>
        </w:tabs>
        <w:ind w:left="5040" w:hanging="360"/>
      </w:pPr>
      <w:rPr>
        <w:rFonts w:ascii="Arial" w:hAnsi="Arial" w:hint="default"/>
      </w:rPr>
    </w:lvl>
    <w:lvl w:ilvl="7" w:tplc="5B6252B0" w:tentative="1">
      <w:start w:val="1"/>
      <w:numFmt w:val="bullet"/>
      <w:lvlText w:val="□"/>
      <w:lvlJc w:val="left"/>
      <w:pPr>
        <w:tabs>
          <w:tab w:val="num" w:pos="5760"/>
        </w:tabs>
        <w:ind w:left="5760" w:hanging="360"/>
      </w:pPr>
      <w:rPr>
        <w:rFonts w:ascii="Arial" w:hAnsi="Arial" w:hint="default"/>
      </w:rPr>
    </w:lvl>
    <w:lvl w:ilvl="8" w:tplc="8FC4BD4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CD02D9B"/>
    <w:multiLevelType w:val="hybridMultilevel"/>
    <w:tmpl w:val="79FAFA2C"/>
    <w:lvl w:ilvl="0" w:tplc="28440838">
      <w:start w:val="1"/>
      <w:numFmt w:val="bullet"/>
      <w:lvlText w:val="□"/>
      <w:lvlJc w:val="left"/>
      <w:pPr>
        <w:tabs>
          <w:tab w:val="num" w:pos="360"/>
        </w:tabs>
        <w:ind w:left="360" w:hanging="360"/>
      </w:pPr>
      <w:rPr>
        <w:rFonts w:ascii="Arial" w:hAnsi="Arial" w:hint="default"/>
      </w:rPr>
    </w:lvl>
    <w:lvl w:ilvl="1" w:tplc="CCA0C1B2">
      <w:start w:val="1"/>
      <w:numFmt w:val="bullet"/>
      <w:lvlText w:val="□"/>
      <w:lvlJc w:val="left"/>
      <w:pPr>
        <w:tabs>
          <w:tab w:val="num" w:pos="1080"/>
        </w:tabs>
        <w:ind w:left="1080" w:hanging="360"/>
      </w:pPr>
      <w:rPr>
        <w:rFonts w:ascii="Arial" w:hAnsi="Arial" w:hint="default"/>
      </w:rPr>
    </w:lvl>
    <w:lvl w:ilvl="2" w:tplc="745A1DBA" w:tentative="1">
      <w:start w:val="1"/>
      <w:numFmt w:val="bullet"/>
      <w:lvlText w:val="□"/>
      <w:lvlJc w:val="left"/>
      <w:pPr>
        <w:tabs>
          <w:tab w:val="num" w:pos="1800"/>
        </w:tabs>
        <w:ind w:left="1800" w:hanging="360"/>
      </w:pPr>
      <w:rPr>
        <w:rFonts w:ascii="Arial" w:hAnsi="Arial" w:hint="default"/>
      </w:rPr>
    </w:lvl>
    <w:lvl w:ilvl="3" w:tplc="CDC8F3D2" w:tentative="1">
      <w:start w:val="1"/>
      <w:numFmt w:val="bullet"/>
      <w:lvlText w:val="□"/>
      <w:lvlJc w:val="left"/>
      <w:pPr>
        <w:tabs>
          <w:tab w:val="num" w:pos="2520"/>
        </w:tabs>
        <w:ind w:left="2520" w:hanging="360"/>
      </w:pPr>
      <w:rPr>
        <w:rFonts w:ascii="Arial" w:hAnsi="Arial" w:hint="default"/>
      </w:rPr>
    </w:lvl>
    <w:lvl w:ilvl="4" w:tplc="6A607654" w:tentative="1">
      <w:start w:val="1"/>
      <w:numFmt w:val="bullet"/>
      <w:lvlText w:val="□"/>
      <w:lvlJc w:val="left"/>
      <w:pPr>
        <w:tabs>
          <w:tab w:val="num" w:pos="3240"/>
        </w:tabs>
        <w:ind w:left="3240" w:hanging="360"/>
      </w:pPr>
      <w:rPr>
        <w:rFonts w:ascii="Arial" w:hAnsi="Arial" w:hint="default"/>
      </w:rPr>
    </w:lvl>
    <w:lvl w:ilvl="5" w:tplc="DAE89CA2" w:tentative="1">
      <w:start w:val="1"/>
      <w:numFmt w:val="bullet"/>
      <w:lvlText w:val="□"/>
      <w:lvlJc w:val="left"/>
      <w:pPr>
        <w:tabs>
          <w:tab w:val="num" w:pos="3960"/>
        </w:tabs>
        <w:ind w:left="3960" w:hanging="360"/>
      </w:pPr>
      <w:rPr>
        <w:rFonts w:ascii="Arial" w:hAnsi="Arial" w:hint="default"/>
      </w:rPr>
    </w:lvl>
    <w:lvl w:ilvl="6" w:tplc="8F6A5510" w:tentative="1">
      <w:start w:val="1"/>
      <w:numFmt w:val="bullet"/>
      <w:lvlText w:val="□"/>
      <w:lvlJc w:val="left"/>
      <w:pPr>
        <w:tabs>
          <w:tab w:val="num" w:pos="4680"/>
        </w:tabs>
        <w:ind w:left="4680" w:hanging="360"/>
      </w:pPr>
      <w:rPr>
        <w:rFonts w:ascii="Arial" w:hAnsi="Arial" w:hint="default"/>
      </w:rPr>
    </w:lvl>
    <w:lvl w:ilvl="7" w:tplc="B8E49F02" w:tentative="1">
      <w:start w:val="1"/>
      <w:numFmt w:val="bullet"/>
      <w:lvlText w:val="□"/>
      <w:lvlJc w:val="left"/>
      <w:pPr>
        <w:tabs>
          <w:tab w:val="num" w:pos="5400"/>
        </w:tabs>
        <w:ind w:left="5400" w:hanging="360"/>
      </w:pPr>
      <w:rPr>
        <w:rFonts w:ascii="Arial" w:hAnsi="Arial" w:hint="default"/>
      </w:rPr>
    </w:lvl>
    <w:lvl w:ilvl="8" w:tplc="871239D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7CC0255B"/>
    <w:multiLevelType w:val="hybridMultilevel"/>
    <w:tmpl w:val="B73AB0D4"/>
    <w:lvl w:ilvl="0" w:tplc="3DE01B14">
      <w:start w:val="1"/>
      <w:numFmt w:val="bullet"/>
      <w:lvlText w:val="□"/>
      <w:lvlJc w:val="left"/>
      <w:pPr>
        <w:tabs>
          <w:tab w:val="num" w:pos="360"/>
        </w:tabs>
        <w:ind w:left="360" w:hanging="360"/>
      </w:pPr>
      <w:rPr>
        <w:rFonts w:ascii="Arial" w:hAnsi="Arial" w:hint="default"/>
      </w:rPr>
    </w:lvl>
    <w:lvl w:ilvl="1" w:tplc="25D2631C">
      <w:start w:val="1"/>
      <w:numFmt w:val="bullet"/>
      <w:lvlText w:val="□"/>
      <w:lvlJc w:val="left"/>
      <w:pPr>
        <w:tabs>
          <w:tab w:val="num" w:pos="1080"/>
        </w:tabs>
        <w:ind w:left="1080" w:hanging="360"/>
      </w:pPr>
      <w:rPr>
        <w:rFonts w:ascii="Arial" w:hAnsi="Arial" w:hint="default"/>
      </w:rPr>
    </w:lvl>
    <w:lvl w:ilvl="2" w:tplc="C8F2699C" w:tentative="1">
      <w:start w:val="1"/>
      <w:numFmt w:val="bullet"/>
      <w:lvlText w:val="□"/>
      <w:lvlJc w:val="left"/>
      <w:pPr>
        <w:tabs>
          <w:tab w:val="num" w:pos="1800"/>
        </w:tabs>
        <w:ind w:left="1800" w:hanging="360"/>
      </w:pPr>
      <w:rPr>
        <w:rFonts w:ascii="Arial" w:hAnsi="Arial" w:hint="default"/>
      </w:rPr>
    </w:lvl>
    <w:lvl w:ilvl="3" w:tplc="03DC5F80" w:tentative="1">
      <w:start w:val="1"/>
      <w:numFmt w:val="bullet"/>
      <w:lvlText w:val="□"/>
      <w:lvlJc w:val="left"/>
      <w:pPr>
        <w:tabs>
          <w:tab w:val="num" w:pos="2520"/>
        </w:tabs>
        <w:ind w:left="2520" w:hanging="360"/>
      </w:pPr>
      <w:rPr>
        <w:rFonts w:ascii="Arial" w:hAnsi="Arial" w:hint="default"/>
      </w:rPr>
    </w:lvl>
    <w:lvl w:ilvl="4" w:tplc="21C87AD8" w:tentative="1">
      <w:start w:val="1"/>
      <w:numFmt w:val="bullet"/>
      <w:lvlText w:val="□"/>
      <w:lvlJc w:val="left"/>
      <w:pPr>
        <w:tabs>
          <w:tab w:val="num" w:pos="3240"/>
        </w:tabs>
        <w:ind w:left="3240" w:hanging="360"/>
      </w:pPr>
      <w:rPr>
        <w:rFonts w:ascii="Arial" w:hAnsi="Arial" w:hint="default"/>
      </w:rPr>
    </w:lvl>
    <w:lvl w:ilvl="5" w:tplc="1B3C36E0" w:tentative="1">
      <w:start w:val="1"/>
      <w:numFmt w:val="bullet"/>
      <w:lvlText w:val="□"/>
      <w:lvlJc w:val="left"/>
      <w:pPr>
        <w:tabs>
          <w:tab w:val="num" w:pos="3960"/>
        </w:tabs>
        <w:ind w:left="3960" w:hanging="360"/>
      </w:pPr>
      <w:rPr>
        <w:rFonts w:ascii="Arial" w:hAnsi="Arial" w:hint="default"/>
      </w:rPr>
    </w:lvl>
    <w:lvl w:ilvl="6" w:tplc="9620B714" w:tentative="1">
      <w:start w:val="1"/>
      <w:numFmt w:val="bullet"/>
      <w:lvlText w:val="□"/>
      <w:lvlJc w:val="left"/>
      <w:pPr>
        <w:tabs>
          <w:tab w:val="num" w:pos="4680"/>
        </w:tabs>
        <w:ind w:left="4680" w:hanging="360"/>
      </w:pPr>
      <w:rPr>
        <w:rFonts w:ascii="Arial" w:hAnsi="Arial" w:hint="default"/>
      </w:rPr>
    </w:lvl>
    <w:lvl w:ilvl="7" w:tplc="21201D60" w:tentative="1">
      <w:start w:val="1"/>
      <w:numFmt w:val="bullet"/>
      <w:lvlText w:val="□"/>
      <w:lvlJc w:val="left"/>
      <w:pPr>
        <w:tabs>
          <w:tab w:val="num" w:pos="5400"/>
        </w:tabs>
        <w:ind w:left="5400" w:hanging="360"/>
      </w:pPr>
      <w:rPr>
        <w:rFonts w:ascii="Arial" w:hAnsi="Arial" w:hint="default"/>
      </w:rPr>
    </w:lvl>
    <w:lvl w:ilvl="8" w:tplc="35C41698" w:tentative="1">
      <w:start w:val="1"/>
      <w:numFmt w:val="bullet"/>
      <w:lvlText w:val="□"/>
      <w:lvlJc w:val="left"/>
      <w:pPr>
        <w:tabs>
          <w:tab w:val="num" w:pos="6120"/>
        </w:tabs>
        <w:ind w:left="6120" w:hanging="360"/>
      </w:pPr>
      <w:rPr>
        <w:rFonts w:ascii="Arial" w:hAnsi="Arial" w:hint="default"/>
      </w:rPr>
    </w:lvl>
  </w:abstractNum>
  <w:num w:numId="1">
    <w:abstractNumId w:val="3"/>
  </w:num>
  <w:num w:numId="2">
    <w:abstractNumId w:val="1"/>
  </w:num>
  <w:num w:numId="3">
    <w:abstractNumId w:val="6"/>
  </w:num>
  <w:num w:numId="4">
    <w:abstractNumId w:val="0"/>
  </w:num>
  <w:num w:numId="5">
    <w:abstractNumId w:val="8"/>
  </w:num>
  <w:num w:numId="6">
    <w:abstractNumId w:val="7"/>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A02"/>
    <w:rsid w:val="00570D0F"/>
    <w:rsid w:val="00855A02"/>
    <w:rsid w:val="008F6B5C"/>
    <w:rsid w:val="00D03CED"/>
    <w:rsid w:val="00F37B44"/>
    <w:rsid w:val="00F80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39D7"/>
  <w15:chartTrackingRefBased/>
  <w15:docId w15:val="{AEA9BB6F-8C13-4149-BF15-4BC59DFC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A02"/>
  </w:style>
  <w:style w:type="paragraph" w:styleId="Footer">
    <w:name w:val="footer"/>
    <w:basedOn w:val="Normal"/>
    <w:link w:val="FooterChar"/>
    <w:uiPriority w:val="99"/>
    <w:unhideWhenUsed/>
    <w:rsid w:val="00855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A02"/>
  </w:style>
  <w:style w:type="paragraph" w:styleId="ListParagraph">
    <w:name w:val="List Paragraph"/>
    <w:basedOn w:val="Normal"/>
    <w:uiPriority w:val="34"/>
    <w:qFormat/>
    <w:rsid w:val="00F37B44"/>
    <w:pPr>
      <w:ind w:left="720"/>
      <w:contextualSpacing/>
    </w:pPr>
  </w:style>
  <w:style w:type="character" w:styleId="Hyperlink">
    <w:name w:val="Hyperlink"/>
    <w:basedOn w:val="DefaultParagraphFont"/>
    <w:uiPriority w:val="99"/>
    <w:unhideWhenUsed/>
    <w:rsid w:val="008F6B5C"/>
    <w:rPr>
      <w:color w:val="0563C1" w:themeColor="hyperlink"/>
      <w:u w:val="single"/>
    </w:rPr>
  </w:style>
  <w:style w:type="character" w:styleId="UnresolvedMention">
    <w:name w:val="Unresolved Mention"/>
    <w:basedOn w:val="DefaultParagraphFont"/>
    <w:uiPriority w:val="99"/>
    <w:semiHidden/>
    <w:unhideWhenUsed/>
    <w:rsid w:val="008F6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38115">
      <w:bodyDiv w:val="1"/>
      <w:marLeft w:val="0"/>
      <w:marRight w:val="0"/>
      <w:marTop w:val="0"/>
      <w:marBottom w:val="0"/>
      <w:divBdr>
        <w:top w:val="none" w:sz="0" w:space="0" w:color="auto"/>
        <w:left w:val="none" w:sz="0" w:space="0" w:color="auto"/>
        <w:bottom w:val="none" w:sz="0" w:space="0" w:color="auto"/>
        <w:right w:val="none" w:sz="0" w:space="0" w:color="auto"/>
      </w:divBdr>
    </w:div>
    <w:div w:id="262303820">
      <w:bodyDiv w:val="1"/>
      <w:marLeft w:val="0"/>
      <w:marRight w:val="0"/>
      <w:marTop w:val="0"/>
      <w:marBottom w:val="0"/>
      <w:divBdr>
        <w:top w:val="none" w:sz="0" w:space="0" w:color="auto"/>
        <w:left w:val="none" w:sz="0" w:space="0" w:color="auto"/>
        <w:bottom w:val="none" w:sz="0" w:space="0" w:color="auto"/>
        <w:right w:val="none" w:sz="0" w:space="0" w:color="auto"/>
      </w:divBdr>
    </w:div>
    <w:div w:id="612906008">
      <w:bodyDiv w:val="1"/>
      <w:marLeft w:val="0"/>
      <w:marRight w:val="0"/>
      <w:marTop w:val="0"/>
      <w:marBottom w:val="0"/>
      <w:divBdr>
        <w:top w:val="none" w:sz="0" w:space="0" w:color="auto"/>
        <w:left w:val="none" w:sz="0" w:space="0" w:color="auto"/>
        <w:bottom w:val="none" w:sz="0" w:space="0" w:color="auto"/>
        <w:right w:val="none" w:sz="0" w:space="0" w:color="auto"/>
      </w:divBdr>
      <w:divsChild>
        <w:div w:id="187065879">
          <w:marLeft w:val="720"/>
          <w:marRight w:val="0"/>
          <w:marTop w:val="0"/>
          <w:marBottom w:val="90"/>
          <w:divBdr>
            <w:top w:val="none" w:sz="0" w:space="0" w:color="auto"/>
            <w:left w:val="none" w:sz="0" w:space="0" w:color="auto"/>
            <w:bottom w:val="none" w:sz="0" w:space="0" w:color="auto"/>
            <w:right w:val="none" w:sz="0" w:space="0" w:color="auto"/>
          </w:divBdr>
        </w:div>
        <w:div w:id="1537040224">
          <w:marLeft w:val="720"/>
          <w:marRight w:val="0"/>
          <w:marTop w:val="0"/>
          <w:marBottom w:val="90"/>
          <w:divBdr>
            <w:top w:val="none" w:sz="0" w:space="0" w:color="auto"/>
            <w:left w:val="none" w:sz="0" w:space="0" w:color="auto"/>
            <w:bottom w:val="none" w:sz="0" w:space="0" w:color="auto"/>
            <w:right w:val="none" w:sz="0" w:space="0" w:color="auto"/>
          </w:divBdr>
        </w:div>
        <w:div w:id="1485050471">
          <w:marLeft w:val="720"/>
          <w:marRight w:val="0"/>
          <w:marTop w:val="0"/>
          <w:marBottom w:val="90"/>
          <w:divBdr>
            <w:top w:val="none" w:sz="0" w:space="0" w:color="auto"/>
            <w:left w:val="none" w:sz="0" w:space="0" w:color="auto"/>
            <w:bottom w:val="none" w:sz="0" w:space="0" w:color="auto"/>
            <w:right w:val="none" w:sz="0" w:space="0" w:color="auto"/>
          </w:divBdr>
        </w:div>
        <w:div w:id="972638382">
          <w:marLeft w:val="720"/>
          <w:marRight w:val="0"/>
          <w:marTop w:val="0"/>
          <w:marBottom w:val="90"/>
          <w:divBdr>
            <w:top w:val="none" w:sz="0" w:space="0" w:color="auto"/>
            <w:left w:val="none" w:sz="0" w:space="0" w:color="auto"/>
            <w:bottom w:val="none" w:sz="0" w:space="0" w:color="auto"/>
            <w:right w:val="none" w:sz="0" w:space="0" w:color="auto"/>
          </w:divBdr>
        </w:div>
        <w:div w:id="177156811">
          <w:marLeft w:val="720"/>
          <w:marRight w:val="0"/>
          <w:marTop w:val="0"/>
          <w:marBottom w:val="90"/>
          <w:divBdr>
            <w:top w:val="none" w:sz="0" w:space="0" w:color="auto"/>
            <w:left w:val="none" w:sz="0" w:space="0" w:color="auto"/>
            <w:bottom w:val="none" w:sz="0" w:space="0" w:color="auto"/>
            <w:right w:val="none" w:sz="0" w:space="0" w:color="auto"/>
          </w:divBdr>
        </w:div>
      </w:divsChild>
    </w:div>
    <w:div w:id="646666456">
      <w:bodyDiv w:val="1"/>
      <w:marLeft w:val="0"/>
      <w:marRight w:val="0"/>
      <w:marTop w:val="0"/>
      <w:marBottom w:val="0"/>
      <w:divBdr>
        <w:top w:val="none" w:sz="0" w:space="0" w:color="auto"/>
        <w:left w:val="none" w:sz="0" w:space="0" w:color="auto"/>
        <w:bottom w:val="none" w:sz="0" w:space="0" w:color="auto"/>
        <w:right w:val="none" w:sz="0" w:space="0" w:color="auto"/>
      </w:divBdr>
      <w:divsChild>
        <w:div w:id="236281441">
          <w:marLeft w:val="446"/>
          <w:marRight w:val="0"/>
          <w:marTop w:val="0"/>
          <w:marBottom w:val="0"/>
          <w:divBdr>
            <w:top w:val="none" w:sz="0" w:space="0" w:color="auto"/>
            <w:left w:val="none" w:sz="0" w:space="0" w:color="auto"/>
            <w:bottom w:val="none" w:sz="0" w:space="0" w:color="auto"/>
            <w:right w:val="none" w:sz="0" w:space="0" w:color="auto"/>
          </w:divBdr>
        </w:div>
        <w:div w:id="536545142">
          <w:marLeft w:val="446"/>
          <w:marRight w:val="0"/>
          <w:marTop w:val="0"/>
          <w:marBottom w:val="0"/>
          <w:divBdr>
            <w:top w:val="none" w:sz="0" w:space="0" w:color="auto"/>
            <w:left w:val="none" w:sz="0" w:space="0" w:color="auto"/>
            <w:bottom w:val="none" w:sz="0" w:space="0" w:color="auto"/>
            <w:right w:val="none" w:sz="0" w:space="0" w:color="auto"/>
          </w:divBdr>
        </w:div>
        <w:div w:id="1426920968">
          <w:marLeft w:val="446"/>
          <w:marRight w:val="0"/>
          <w:marTop w:val="0"/>
          <w:marBottom w:val="0"/>
          <w:divBdr>
            <w:top w:val="none" w:sz="0" w:space="0" w:color="auto"/>
            <w:left w:val="none" w:sz="0" w:space="0" w:color="auto"/>
            <w:bottom w:val="none" w:sz="0" w:space="0" w:color="auto"/>
            <w:right w:val="none" w:sz="0" w:space="0" w:color="auto"/>
          </w:divBdr>
        </w:div>
        <w:div w:id="1640574941">
          <w:marLeft w:val="446"/>
          <w:marRight w:val="0"/>
          <w:marTop w:val="0"/>
          <w:marBottom w:val="0"/>
          <w:divBdr>
            <w:top w:val="none" w:sz="0" w:space="0" w:color="auto"/>
            <w:left w:val="none" w:sz="0" w:space="0" w:color="auto"/>
            <w:bottom w:val="none" w:sz="0" w:space="0" w:color="auto"/>
            <w:right w:val="none" w:sz="0" w:space="0" w:color="auto"/>
          </w:divBdr>
        </w:div>
        <w:div w:id="1711607399">
          <w:marLeft w:val="446"/>
          <w:marRight w:val="0"/>
          <w:marTop w:val="0"/>
          <w:marBottom w:val="0"/>
          <w:divBdr>
            <w:top w:val="none" w:sz="0" w:space="0" w:color="auto"/>
            <w:left w:val="none" w:sz="0" w:space="0" w:color="auto"/>
            <w:bottom w:val="none" w:sz="0" w:space="0" w:color="auto"/>
            <w:right w:val="none" w:sz="0" w:space="0" w:color="auto"/>
          </w:divBdr>
        </w:div>
        <w:div w:id="1224559612">
          <w:marLeft w:val="446"/>
          <w:marRight w:val="0"/>
          <w:marTop w:val="0"/>
          <w:marBottom w:val="0"/>
          <w:divBdr>
            <w:top w:val="none" w:sz="0" w:space="0" w:color="auto"/>
            <w:left w:val="none" w:sz="0" w:space="0" w:color="auto"/>
            <w:bottom w:val="none" w:sz="0" w:space="0" w:color="auto"/>
            <w:right w:val="none" w:sz="0" w:space="0" w:color="auto"/>
          </w:divBdr>
        </w:div>
        <w:div w:id="691036123">
          <w:marLeft w:val="446"/>
          <w:marRight w:val="0"/>
          <w:marTop w:val="0"/>
          <w:marBottom w:val="0"/>
          <w:divBdr>
            <w:top w:val="none" w:sz="0" w:space="0" w:color="auto"/>
            <w:left w:val="none" w:sz="0" w:space="0" w:color="auto"/>
            <w:bottom w:val="none" w:sz="0" w:space="0" w:color="auto"/>
            <w:right w:val="none" w:sz="0" w:space="0" w:color="auto"/>
          </w:divBdr>
        </w:div>
        <w:div w:id="2114744839">
          <w:marLeft w:val="446"/>
          <w:marRight w:val="0"/>
          <w:marTop w:val="0"/>
          <w:marBottom w:val="0"/>
          <w:divBdr>
            <w:top w:val="none" w:sz="0" w:space="0" w:color="auto"/>
            <w:left w:val="none" w:sz="0" w:space="0" w:color="auto"/>
            <w:bottom w:val="none" w:sz="0" w:space="0" w:color="auto"/>
            <w:right w:val="none" w:sz="0" w:space="0" w:color="auto"/>
          </w:divBdr>
        </w:div>
      </w:divsChild>
    </w:div>
    <w:div w:id="674723235">
      <w:bodyDiv w:val="1"/>
      <w:marLeft w:val="0"/>
      <w:marRight w:val="0"/>
      <w:marTop w:val="0"/>
      <w:marBottom w:val="0"/>
      <w:divBdr>
        <w:top w:val="none" w:sz="0" w:space="0" w:color="auto"/>
        <w:left w:val="none" w:sz="0" w:space="0" w:color="auto"/>
        <w:bottom w:val="none" w:sz="0" w:space="0" w:color="auto"/>
        <w:right w:val="none" w:sz="0" w:space="0" w:color="auto"/>
      </w:divBdr>
      <w:divsChild>
        <w:div w:id="1189291925">
          <w:marLeft w:val="446"/>
          <w:marRight w:val="0"/>
          <w:marTop w:val="0"/>
          <w:marBottom w:val="0"/>
          <w:divBdr>
            <w:top w:val="none" w:sz="0" w:space="0" w:color="auto"/>
            <w:left w:val="none" w:sz="0" w:space="0" w:color="auto"/>
            <w:bottom w:val="none" w:sz="0" w:space="0" w:color="auto"/>
            <w:right w:val="none" w:sz="0" w:space="0" w:color="auto"/>
          </w:divBdr>
        </w:div>
        <w:div w:id="1487015661">
          <w:marLeft w:val="446"/>
          <w:marRight w:val="0"/>
          <w:marTop w:val="0"/>
          <w:marBottom w:val="0"/>
          <w:divBdr>
            <w:top w:val="none" w:sz="0" w:space="0" w:color="auto"/>
            <w:left w:val="none" w:sz="0" w:space="0" w:color="auto"/>
            <w:bottom w:val="none" w:sz="0" w:space="0" w:color="auto"/>
            <w:right w:val="none" w:sz="0" w:space="0" w:color="auto"/>
          </w:divBdr>
        </w:div>
        <w:div w:id="913396341">
          <w:marLeft w:val="446"/>
          <w:marRight w:val="0"/>
          <w:marTop w:val="0"/>
          <w:marBottom w:val="0"/>
          <w:divBdr>
            <w:top w:val="none" w:sz="0" w:space="0" w:color="auto"/>
            <w:left w:val="none" w:sz="0" w:space="0" w:color="auto"/>
            <w:bottom w:val="none" w:sz="0" w:space="0" w:color="auto"/>
            <w:right w:val="none" w:sz="0" w:space="0" w:color="auto"/>
          </w:divBdr>
        </w:div>
        <w:div w:id="149255927">
          <w:marLeft w:val="446"/>
          <w:marRight w:val="0"/>
          <w:marTop w:val="0"/>
          <w:marBottom w:val="0"/>
          <w:divBdr>
            <w:top w:val="none" w:sz="0" w:space="0" w:color="auto"/>
            <w:left w:val="none" w:sz="0" w:space="0" w:color="auto"/>
            <w:bottom w:val="none" w:sz="0" w:space="0" w:color="auto"/>
            <w:right w:val="none" w:sz="0" w:space="0" w:color="auto"/>
          </w:divBdr>
        </w:div>
        <w:div w:id="1237014615">
          <w:marLeft w:val="446"/>
          <w:marRight w:val="0"/>
          <w:marTop w:val="0"/>
          <w:marBottom w:val="0"/>
          <w:divBdr>
            <w:top w:val="none" w:sz="0" w:space="0" w:color="auto"/>
            <w:left w:val="none" w:sz="0" w:space="0" w:color="auto"/>
            <w:bottom w:val="none" w:sz="0" w:space="0" w:color="auto"/>
            <w:right w:val="none" w:sz="0" w:space="0" w:color="auto"/>
          </w:divBdr>
        </w:div>
      </w:divsChild>
    </w:div>
    <w:div w:id="893005709">
      <w:bodyDiv w:val="1"/>
      <w:marLeft w:val="0"/>
      <w:marRight w:val="0"/>
      <w:marTop w:val="0"/>
      <w:marBottom w:val="0"/>
      <w:divBdr>
        <w:top w:val="none" w:sz="0" w:space="0" w:color="auto"/>
        <w:left w:val="none" w:sz="0" w:space="0" w:color="auto"/>
        <w:bottom w:val="none" w:sz="0" w:space="0" w:color="auto"/>
        <w:right w:val="none" w:sz="0" w:space="0" w:color="auto"/>
      </w:divBdr>
    </w:div>
    <w:div w:id="949093236">
      <w:bodyDiv w:val="1"/>
      <w:marLeft w:val="0"/>
      <w:marRight w:val="0"/>
      <w:marTop w:val="0"/>
      <w:marBottom w:val="0"/>
      <w:divBdr>
        <w:top w:val="none" w:sz="0" w:space="0" w:color="auto"/>
        <w:left w:val="none" w:sz="0" w:space="0" w:color="auto"/>
        <w:bottom w:val="none" w:sz="0" w:space="0" w:color="auto"/>
        <w:right w:val="none" w:sz="0" w:space="0" w:color="auto"/>
      </w:divBdr>
      <w:divsChild>
        <w:div w:id="1053037853">
          <w:marLeft w:val="446"/>
          <w:marRight w:val="0"/>
          <w:marTop w:val="0"/>
          <w:marBottom w:val="0"/>
          <w:divBdr>
            <w:top w:val="none" w:sz="0" w:space="0" w:color="auto"/>
            <w:left w:val="none" w:sz="0" w:space="0" w:color="auto"/>
            <w:bottom w:val="none" w:sz="0" w:space="0" w:color="auto"/>
            <w:right w:val="none" w:sz="0" w:space="0" w:color="auto"/>
          </w:divBdr>
        </w:div>
        <w:div w:id="572859743">
          <w:marLeft w:val="446"/>
          <w:marRight w:val="0"/>
          <w:marTop w:val="0"/>
          <w:marBottom w:val="0"/>
          <w:divBdr>
            <w:top w:val="none" w:sz="0" w:space="0" w:color="auto"/>
            <w:left w:val="none" w:sz="0" w:space="0" w:color="auto"/>
            <w:bottom w:val="none" w:sz="0" w:space="0" w:color="auto"/>
            <w:right w:val="none" w:sz="0" w:space="0" w:color="auto"/>
          </w:divBdr>
        </w:div>
        <w:div w:id="1835804829">
          <w:marLeft w:val="446"/>
          <w:marRight w:val="0"/>
          <w:marTop w:val="0"/>
          <w:marBottom w:val="0"/>
          <w:divBdr>
            <w:top w:val="none" w:sz="0" w:space="0" w:color="auto"/>
            <w:left w:val="none" w:sz="0" w:space="0" w:color="auto"/>
            <w:bottom w:val="none" w:sz="0" w:space="0" w:color="auto"/>
            <w:right w:val="none" w:sz="0" w:space="0" w:color="auto"/>
          </w:divBdr>
        </w:div>
        <w:div w:id="1262102776">
          <w:marLeft w:val="446"/>
          <w:marRight w:val="0"/>
          <w:marTop w:val="0"/>
          <w:marBottom w:val="0"/>
          <w:divBdr>
            <w:top w:val="none" w:sz="0" w:space="0" w:color="auto"/>
            <w:left w:val="none" w:sz="0" w:space="0" w:color="auto"/>
            <w:bottom w:val="none" w:sz="0" w:space="0" w:color="auto"/>
            <w:right w:val="none" w:sz="0" w:space="0" w:color="auto"/>
          </w:divBdr>
        </w:div>
        <w:div w:id="1022242212">
          <w:marLeft w:val="446"/>
          <w:marRight w:val="0"/>
          <w:marTop w:val="0"/>
          <w:marBottom w:val="0"/>
          <w:divBdr>
            <w:top w:val="none" w:sz="0" w:space="0" w:color="auto"/>
            <w:left w:val="none" w:sz="0" w:space="0" w:color="auto"/>
            <w:bottom w:val="none" w:sz="0" w:space="0" w:color="auto"/>
            <w:right w:val="none" w:sz="0" w:space="0" w:color="auto"/>
          </w:divBdr>
        </w:div>
        <w:div w:id="503279949">
          <w:marLeft w:val="446"/>
          <w:marRight w:val="0"/>
          <w:marTop w:val="0"/>
          <w:marBottom w:val="0"/>
          <w:divBdr>
            <w:top w:val="none" w:sz="0" w:space="0" w:color="auto"/>
            <w:left w:val="none" w:sz="0" w:space="0" w:color="auto"/>
            <w:bottom w:val="none" w:sz="0" w:space="0" w:color="auto"/>
            <w:right w:val="none" w:sz="0" w:space="0" w:color="auto"/>
          </w:divBdr>
        </w:div>
        <w:div w:id="510143329">
          <w:marLeft w:val="446"/>
          <w:marRight w:val="0"/>
          <w:marTop w:val="0"/>
          <w:marBottom w:val="0"/>
          <w:divBdr>
            <w:top w:val="none" w:sz="0" w:space="0" w:color="auto"/>
            <w:left w:val="none" w:sz="0" w:space="0" w:color="auto"/>
            <w:bottom w:val="none" w:sz="0" w:space="0" w:color="auto"/>
            <w:right w:val="none" w:sz="0" w:space="0" w:color="auto"/>
          </w:divBdr>
        </w:div>
      </w:divsChild>
    </w:div>
    <w:div w:id="978997307">
      <w:bodyDiv w:val="1"/>
      <w:marLeft w:val="0"/>
      <w:marRight w:val="0"/>
      <w:marTop w:val="0"/>
      <w:marBottom w:val="0"/>
      <w:divBdr>
        <w:top w:val="none" w:sz="0" w:space="0" w:color="auto"/>
        <w:left w:val="none" w:sz="0" w:space="0" w:color="auto"/>
        <w:bottom w:val="none" w:sz="0" w:space="0" w:color="auto"/>
        <w:right w:val="none" w:sz="0" w:space="0" w:color="auto"/>
      </w:divBdr>
      <w:divsChild>
        <w:div w:id="1029451154">
          <w:marLeft w:val="446"/>
          <w:marRight w:val="0"/>
          <w:marTop w:val="0"/>
          <w:marBottom w:val="120"/>
          <w:divBdr>
            <w:top w:val="none" w:sz="0" w:space="0" w:color="auto"/>
            <w:left w:val="none" w:sz="0" w:space="0" w:color="auto"/>
            <w:bottom w:val="none" w:sz="0" w:space="0" w:color="auto"/>
            <w:right w:val="none" w:sz="0" w:space="0" w:color="auto"/>
          </w:divBdr>
        </w:div>
        <w:div w:id="939414924">
          <w:marLeft w:val="446"/>
          <w:marRight w:val="0"/>
          <w:marTop w:val="0"/>
          <w:marBottom w:val="120"/>
          <w:divBdr>
            <w:top w:val="none" w:sz="0" w:space="0" w:color="auto"/>
            <w:left w:val="none" w:sz="0" w:space="0" w:color="auto"/>
            <w:bottom w:val="none" w:sz="0" w:space="0" w:color="auto"/>
            <w:right w:val="none" w:sz="0" w:space="0" w:color="auto"/>
          </w:divBdr>
        </w:div>
        <w:div w:id="1112241330">
          <w:marLeft w:val="446"/>
          <w:marRight w:val="0"/>
          <w:marTop w:val="0"/>
          <w:marBottom w:val="120"/>
          <w:divBdr>
            <w:top w:val="none" w:sz="0" w:space="0" w:color="auto"/>
            <w:left w:val="none" w:sz="0" w:space="0" w:color="auto"/>
            <w:bottom w:val="none" w:sz="0" w:space="0" w:color="auto"/>
            <w:right w:val="none" w:sz="0" w:space="0" w:color="auto"/>
          </w:divBdr>
        </w:div>
        <w:div w:id="459032489">
          <w:marLeft w:val="446"/>
          <w:marRight w:val="0"/>
          <w:marTop w:val="0"/>
          <w:marBottom w:val="120"/>
          <w:divBdr>
            <w:top w:val="none" w:sz="0" w:space="0" w:color="auto"/>
            <w:left w:val="none" w:sz="0" w:space="0" w:color="auto"/>
            <w:bottom w:val="none" w:sz="0" w:space="0" w:color="auto"/>
            <w:right w:val="none" w:sz="0" w:space="0" w:color="auto"/>
          </w:divBdr>
        </w:div>
      </w:divsChild>
    </w:div>
    <w:div w:id="1072042128">
      <w:bodyDiv w:val="1"/>
      <w:marLeft w:val="0"/>
      <w:marRight w:val="0"/>
      <w:marTop w:val="0"/>
      <w:marBottom w:val="0"/>
      <w:divBdr>
        <w:top w:val="none" w:sz="0" w:space="0" w:color="auto"/>
        <w:left w:val="none" w:sz="0" w:space="0" w:color="auto"/>
        <w:bottom w:val="none" w:sz="0" w:space="0" w:color="auto"/>
        <w:right w:val="none" w:sz="0" w:space="0" w:color="auto"/>
      </w:divBdr>
      <w:divsChild>
        <w:div w:id="109278129">
          <w:marLeft w:val="446"/>
          <w:marRight w:val="0"/>
          <w:marTop w:val="0"/>
          <w:marBottom w:val="0"/>
          <w:divBdr>
            <w:top w:val="none" w:sz="0" w:space="0" w:color="auto"/>
            <w:left w:val="none" w:sz="0" w:space="0" w:color="auto"/>
            <w:bottom w:val="none" w:sz="0" w:space="0" w:color="auto"/>
            <w:right w:val="none" w:sz="0" w:space="0" w:color="auto"/>
          </w:divBdr>
        </w:div>
        <w:div w:id="2038775931">
          <w:marLeft w:val="446"/>
          <w:marRight w:val="0"/>
          <w:marTop w:val="0"/>
          <w:marBottom w:val="0"/>
          <w:divBdr>
            <w:top w:val="none" w:sz="0" w:space="0" w:color="auto"/>
            <w:left w:val="none" w:sz="0" w:space="0" w:color="auto"/>
            <w:bottom w:val="none" w:sz="0" w:space="0" w:color="auto"/>
            <w:right w:val="none" w:sz="0" w:space="0" w:color="auto"/>
          </w:divBdr>
        </w:div>
        <w:div w:id="533157002">
          <w:marLeft w:val="446"/>
          <w:marRight w:val="0"/>
          <w:marTop w:val="0"/>
          <w:marBottom w:val="0"/>
          <w:divBdr>
            <w:top w:val="none" w:sz="0" w:space="0" w:color="auto"/>
            <w:left w:val="none" w:sz="0" w:space="0" w:color="auto"/>
            <w:bottom w:val="none" w:sz="0" w:space="0" w:color="auto"/>
            <w:right w:val="none" w:sz="0" w:space="0" w:color="auto"/>
          </w:divBdr>
        </w:div>
        <w:div w:id="1795559443">
          <w:marLeft w:val="446"/>
          <w:marRight w:val="0"/>
          <w:marTop w:val="0"/>
          <w:marBottom w:val="0"/>
          <w:divBdr>
            <w:top w:val="none" w:sz="0" w:space="0" w:color="auto"/>
            <w:left w:val="none" w:sz="0" w:space="0" w:color="auto"/>
            <w:bottom w:val="none" w:sz="0" w:space="0" w:color="auto"/>
            <w:right w:val="none" w:sz="0" w:space="0" w:color="auto"/>
          </w:divBdr>
        </w:div>
        <w:div w:id="624316983">
          <w:marLeft w:val="446"/>
          <w:marRight w:val="0"/>
          <w:marTop w:val="0"/>
          <w:marBottom w:val="0"/>
          <w:divBdr>
            <w:top w:val="none" w:sz="0" w:space="0" w:color="auto"/>
            <w:left w:val="none" w:sz="0" w:space="0" w:color="auto"/>
            <w:bottom w:val="none" w:sz="0" w:space="0" w:color="auto"/>
            <w:right w:val="none" w:sz="0" w:space="0" w:color="auto"/>
          </w:divBdr>
        </w:div>
        <w:div w:id="277490193">
          <w:marLeft w:val="446"/>
          <w:marRight w:val="0"/>
          <w:marTop w:val="0"/>
          <w:marBottom w:val="0"/>
          <w:divBdr>
            <w:top w:val="none" w:sz="0" w:space="0" w:color="auto"/>
            <w:left w:val="none" w:sz="0" w:space="0" w:color="auto"/>
            <w:bottom w:val="none" w:sz="0" w:space="0" w:color="auto"/>
            <w:right w:val="none" w:sz="0" w:space="0" w:color="auto"/>
          </w:divBdr>
        </w:div>
        <w:div w:id="907419071">
          <w:marLeft w:val="446"/>
          <w:marRight w:val="0"/>
          <w:marTop w:val="0"/>
          <w:marBottom w:val="0"/>
          <w:divBdr>
            <w:top w:val="none" w:sz="0" w:space="0" w:color="auto"/>
            <w:left w:val="none" w:sz="0" w:space="0" w:color="auto"/>
            <w:bottom w:val="none" w:sz="0" w:space="0" w:color="auto"/>
            <w:right w:val="none" w:sz="0" w:space="0" w:color="auto"/>
          </w:divBdr>
        </w:div>
      </w:divsChild>
    </w:div>
    <w:div w:id="1153647114">
      <w:bodyDiv w:val="1"/>
      <w:marLeft w:val="0"/>
      <w:marRight w:val="0"/>
      <w:marTop w:val="0"/>
      <w:marBottom w:val="0"/>
      <w:divBdr>
        <w:top w:val="none" w:sz="0" w:space="0" w:color="auto"/>
        <w:left w:val="none" w:sz="0" w:space="0" w:color="auto"/>
        <w:bottom w:val="none" w:sz="0" w:space="0" w:color="auto"/>
        <w:right w:val="none" w:sz="0" w:space="0" w:color="auto"/>
      </w:divBdr>
    </w:div>
    <w:div w:id="1360860490">
      <w:bodyDiv w:val="1"/>
      <w:marLeft w:val="0"/>
      <w:marRight w:val="0"/>
      <w:marTop w:val="0"/>
      <w:marBottom w:val="0"/>
      <w:divBdr>
        <w:top w:val="none" w:sz="0" w:space="0" w:color="auto"/>
        <w:left w:val="none" w:sz="0" w:space="0" w:color="auto"/>
        <w:bottom w:val="none" w:sz="0" w:space="0" w:color="auto"/>
        <w:right w:val="none" w:sz="0" w:space="0" w:color="auto"/>
      </w:divBdr>
      <w:divsChild>
        <w:div w:id="1712336374">
          <w:marLeft w:val="446"/>
          <w:marRight w:val="0"/>
          <w:marTop w:val="0"/>
          <w:marBottom w:val="120"/>
          <w:divBdr>
            <w:top w:val="none" w:sz="0" w:space="0" w:color="auto"/>
            <w:left w:val="none" w:sz="0" w:space="0" w:color="auto"/>
            <w:bottom w:val="none" w:sz="0" w:space="0" w:color="auto"/>
            <w:right w:val="none" w:sz="0" w:space="0" w:color="auto"/>
          </w:divBdr>
        </w:div>
        <w:div w:id="200746219">
          <w:marLeft w:val="446"/>
          <w:marRight w:val="0"/>
          <w:marTop w:val="0"/>
          <w:marBottom w:val="120"/>
          <w:divBdr>
            <w:top w:val="none" w:sz="0" w:space="0" w:color="auto"/>
            <w:left w:val="none" w:sz="0" w:space="0" w:color="auto"/>
            <w:bottom w:val="none" w:sz="0" w:space="0" w:color="auto"/>
            <w:right w:val="none" w:sz="0" w:space="0" w:color="auto"/>
          </w:divBdr>
        </w:div>
        <w:div w:id="305623559">
          <w:marLeft w:val="1800"/>
          <w:marRight w:val="0"/>
          <w:marTop w:val="0"/>
          <w:marBottom w:val="120"/>
          <w:divBdr>
            <w:top w:val="none" w:sz="0" w:space="0" w:color="auto"/>
            <w:left w:val="none" w:sz="0" w:space="0" w:color="auto"/>
            <w:bottom w:val="none" w:sz="0" w:space="0" w:color="auto"/>
            <w:right w:val="none" w:sz="0" w:space="0" w:color="auto"/>
          </w:divBdr>
        </w:div>
        <w:div w:id="285240525">
          <w:marLeft w:val="1800"/>
          <w:marRight w:val="0"/>
          <w:marTop w:val="0"/>
          <w:marBottom w:val="120"/>
          <w:divBdr>
            <w:top w:val="none" w:sz="0" w:space="0" w:color="auto"/>
            <w:left w:val="none" w:sz="0" w:space="0" w:color="auto"/>
            <w:bottom w:val="none" w:sz="0" w:space="0" w:color="auto"/>
            <w:right w:val="none" w:sz="0" w:space="0" w:color="auto"/>
          </w:divBdr>
        </w:div>
        <w:div w:id="1166894144">
          <w:marLeft w:val="1800"/>
          <w:marRight w:val="0"/>
          <w:marTop w:val="0"/>
          <w:marBottom w:val="120"/>
          <w:divBdr>
            <w:top w:val="none" w:sz="0" w:space="0" w:color="auto"/>
            <w:left w:val="none" w:sz="0" w:space="0" w:color="auto"/>
            <w:bottom w:val="none" w:sz="0" w:space="0" w:color="auto"/>
            <w:right w:val="none" w:sz="0" w:space="0" w:color="auto"/>
          </w:divBdr>
        </w:div>
        <w:div w:id="1471636016">
          <w:marLeft w:val="1800"/>
          <w:marRight w:val="0"/>
          <w:marTop w:val="0"/>
          <w:marBottom w:val="120"/>
          <w:divBdr>
            <w:top w:val="none" w:sz="0" w:space="0" w:color="auto"/>
            <w:left w:val="none" w:sz="0" w:space="0" w:color="auto"/>
            <w:bottom w:val="none" w:sz="0" w:space="0" w:color="auto"/>
            <w:right w:val="none" w:sz="0" w:space="0" w:color="auto"/>
          </w:divBdr>
        </w:div>
        <w:div w:id="1369716872">
          <w:marLeft w:val="1800"/>
          <w:marRight w:val="0"/>
          <w:marTop w:val="0"/>
          <w:marBottom w:val="120"/>
          <w:divBdr>
            <w:top w:val="none" w:sz="0" w:space="0" w:color="auto"/>
            <w:left w:val="none" w:sz="0" w:space="0" w:color="auto"/>
            <w:bottom w:val="none" w:sz="0" w:space="0" w:color="auto"/>
            <w:right w:val="none" w:sz="0" w:space="0" w:color="auto"/>
          </w:divBdr>
        </w:div>
      </w:divsChild>
    </w:div>
    <w:div w:id="1414737972">
      <w:bodyDiv w:val="1"/>
      <w:marLeft w:val="0"/>
      <w:marRight w:val="0"/>
      <w:marTop w:val="0"/>
      <w:marBottom w:val="0"/>
      <w:divBdr>
        <w:top w:val="none" w:sz="0" w:space="0" w:color="auto"/>
        <w:left w:val="none" w:sz="0" w:space="0" w:color="auto"/>
        <w:bottom w:val="none" w:sz="0" w:space="0" w:color="auto"/>
        <w:right w:val="none" w:sz="0" w:space="0" w:color="auto"/>
      </w:divBdr>
    </w:div>
    <w:div w:id="1420370258">
      <w:bodyDiv w:val="1"/>
      <w:marLeft w:val="0"/>
      <w:marRight w:val="0"/>
      <w:marTop w:val="0"/>
      <w:marBottom w:val="0"/>
      <w:divBdr>
        <w:top w:val="none" w:sz="0" w:space="0" w:color="auto"/>
        <w:left w:val="none" w:sz="0" w:space="0" w:color="auto"/>
        <w:bottom w:val="none" w:sz="0" w:space="0" w:color="auto"/>
        <w:right w:val="none" w:sz="0" w:space="0" w:color="auto"/>
      </w:divBdr>
      <w:divsChild>
        <w:div w:id="420687906">
          <w:marLeft w:val="446"/>
          <w:marRight w:val="0"/>
          <w:marTop w:val="0"/>
          <w:marBottom w:val="120"/>
          <w:divBdr>
            <w:top w:val="none" w:sz="0" w:space="0" w:color="auto"/>
            <w:left w:val="none" w:sz="0" w:space="0" w:color="auto"/>
            <w:bottom w:val="none" w:sz="0" w:space="0" w:color="auto"/>
            <w:right w:val="none" w:sz="0" w:space="0" w:color="auto"/>
          </w:divBdr>
        </w:div>
        <w:div w:id="646013357">
          <w:marLeft w:val="446"/>
          <w:marRight w:val="0"/>
          <w:marTop w:val="0"/>
          <w:marBottom w:val="120"/>
          <w:divBdr>
            <w:top w:val="none" w:sz="0" w:space="0" w:color="auto"/>
            <w:left w:val="none" w:sz="0" w:space="0" w:color="auto"/>
            <w:bottom w:val="none" w:sz="0" w:space="0" w:color="auto"/>
            <w:right w:val="none" w:sz="0" w:space="0" w:color="auto"/>
          </w:divBdr>
        </w:div>
        <w:div w:id="621569136">
          <w:marLeft w:val="446"/>
          <w:marRight w:val="0"/>
          <w:marTop w:val="0"/>
          <w:marBottom w:val="120"/>
          <w:divBdr>
            <w:top w:val="none" w:sz="0" w:space="0" w:color="auto"/>
            <w:left w:val="none" w:sz="0" w:space="0" w:color="auto"/>
            <w:bottom w:val="none" w:sz="0" w:space="0" w:color="auto"/>
            <w:right w:val="none" w:sz="0" w:space="0" w:color="auto"/>
          </w:divBdr>
        </w:div>
      </w:divsChild>
    </w:div>
    <w:div w:id="1421291668">
      <w:bodyDiv w:val="1"/>
      <w:marLeft w:val="0"/>
      <w:marRight w:val="0"/>
      <w:marTop w:val="0"/>
      <w:marBottom w:val="0"/>
      <w:divBdr>
        <w:top w:val="none" w:sz="0" w:space="0" w:color="auto"/>
        <w:left w:val="none" w:sz="0" w:space="0" w:color="auto"/>
        <w:bottom w:val="none" w:sz="0" w:space="0" w:color="auto"/>
        <w:right w:val="none" w:sz="0" w:space="0" w:color="auto"/>
      </w:divBdr>
    </w:div>
    <w:div w:id="1463965106">
      <w:bodyDiv w:val="1"/>
      <w:marLeft w:val="0"/>
      <w:marRight w:val="0"/>
      <w:marTop w:val="0"/>
      <w:marBottom w:val="0"/>
      <w:divBdr>
        <w:top w:val="none" w:sz="0" w:space="0" w:color="auto"/>
        <w:left w:val="none" w:sz="0" w:space="0" w:color="auto"/>
        <w:bottom w:val="none" w:sz="0" w:space="0" w:color="auto"/>
        <w:right w:val="none" w:sz="0" w:space="0" w:color="auto"/>
      </w:divBdr>
      <w:divsChild>
        <w:div w:id="1443108141">
          <w:marLeft w:val="605"/>
          <w:marRight w:val="0"/>
          <w:marTop w:val="0"/>
          <w:marBottom w:val="90"/>
          <w:divBdr>
            <w:top w:val="none" w:sz="0" w:space="0" w:color="auto"/>
            <w:left w:val="none" w:sz="0" w:space="0" w:color="auto"/>
            <w:bottom w:val="none" w:sz="0" w:space="0" w:color="auto"/>
            <w:right w:val="none" w:sz="0" w:space="0" w:color="auto"/>
          </w:divBdr>
        </w:div>
        <w:div w:id="1351490872">
          <w:marLeft w:val="605"/>
          <w:marRight w:val="0"/>
          <w:marTop w:val="0"/>
          <w:marBottom w:val="90"/>
          <w:divBdr>
            <w:top w:val="none" w:sz="0" w:space="0" w:color="auto"/>
            <w:left w:val="none" w:sz="0" w:space="0" w:color="auto"/>
            <w:bottom w:val="none" w:sz="0" w:space="0" w:color="auto"/>
            <w:right w:val="none" w:sz="0" w:space="0" w:color="auto"/>
          </w:divBdr>
        </w:div>
        <w:div w:id="569002074">
          <w:marLeft w:val="605"/>
          <w:marRight w:val="0"/>
          <w:marTop w:val="0"/>
          <w:marBottom w:val="90"/>
          <w:divBdr>
            <w:top w:val="none" w:sz="0" w:space="0" w:color="auto"/>
            <w:left w:val="none" w:sz="0" w:space="0" w:color="auto"/>
            <w:bottom w:val="none" w:sz="0" w:space="0" w:color="auto"/>
            <w:right w:val="none" w:sz="0" w:space="0" w:color="auto"/>
          </w:divBdr>
        </w:div>
        <w:div w:id="266541083">
          <w:marLeft w:val="605"/>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gareta.brandt@covered.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2141</Words>
  <Characters>12209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Brandt, Margareta (CoveredCA)</dc:creator>
  <cp:keywords/>
  <dc:description/>
  <cp:lastModifiedBy>Brandt, Margareta (CoveredCA)</cp:lastModifiedBy>
  <cp:revision>4</cp:revision>
  <dcterms:created xsi:type="dcterms:W3CDTF">2020-05-15T00:29:00Z</dcterms:created>
  <dcterms:modified xsi:type="dcterms:W3CDTF">2020-05-15T00:59:00Z</dcterms:modified>
</cp:coreProperties>
</file>